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0272F" w14:textId="4697415A" w:rsidR="006315D0" w:rsidRPr="00310B07" w:rsidRDefault="009B6031" w:rsidP="009B6031">
      <w:pPr>
        <w:pBdr>
          <w:bottom w:val="single" w:sz="4" w:space="1" w:color="auto"/>
        </w:pBdr>
        <w:rPr>
          <w:color w:val="C70202"/>
          <w:sz w:val="40"/>
          <w:szCs w:val="40"/>
        </w:rPr>
      </w:pPr>
      <w:bookmarkStart w:id="0" w:name="_GoBack"/>
      <w:bookmarkEnd w:id="0"/>
      <w:r w:rsidRPr="00310B07">
        <w:rPr>
          <w:color w:val="C70202"/>
          <w:sz w:val="40"/>
          <w:szCs w:val="40"/>
        </w:rPr>
        <w:t xml:space="preserve">MISSION 2030 KONKRET </w:t>
      </w:r>
    </w:p>
    <w:p w14:paraId="52AFC93B" w14:textId="418F2D43" w:rsidR="009B6031" w:rsidRDefault="009B6031" w:rsidP="00FA5D8E">
      <w:pPr>
        <w:widowControl w:val="0"/>
        <w:autoSpaceDE w:val="0"/>
        <w:autoSpaceDN w:val="0"/>
        <w:adjustRightInd w:val="0"/>
        <w:jc w:val="both"/>
      </w:pPr>
      <w:r w:rsidRPr="009B6031">
        <w:t xml:space="preserve">Zu den im </w:t>
      </w:r>
      <w:r w:rsidRPr="00310B07">
        <w:rPr>
          <w:b/>
        </w:rPr>
        <w:t>Strategiepapier Mission 2030</w:t>
      </w:r>
      <w:r w:rsidRPr="009B6031">
        <w:t xml:space="preserve"> formulierten Zielen der Bundesregierung in Hinblick auf das Erreichen der österreichischen Klimaziele fehlen dringend </w:t>
      </w:r>
      <w:r w:rsidRPr="00310B07">
        <w:rPr>
          <w:b/>
        </w:rPr>
        <w:t>weitere Konkretisierungen</w:t>
      </w:r>
      <w:r w:rsidRPr="009B6031">
        <w:t xml:space="preserve">. </w:t>
      </w:r>
      <w:r w:rsidR="009463F1">
        <w:t>„</w:t>
      </w:r>
      <w:r w:rsidRPr="009B6031">
        <w:t xml:space="preserve">Gerne werde man aber noch </w:t>
      </w:r>
      <w:r w:rsidRPr="00310B07">
        <w:rPr>
          <w:b/>
        </w:rPr>
        <w:t>sinnvolle Beiträge in die Klima- und Energiest</w:t>
      </w:r>
      <w:r w:rsidR="00310B07">
        <w:rPr>
          <w:b/>
        </w:rPr>
        <w:t xml:space="preserve">rategie einfließen </w:t>
      </w:r>
      <w:r w:rsidRPr="00310B07">
        <w:rPr>
          <w:b/>
        </w:rPr>
        <w:t>lassen</w:t>
      </w:r>
      <w:r w:rsidR="009463F1">
        <w:rPr>
          <w:b/>
        </w:rPr>
        <w:t>“</w:t>
      </w:r>
      <w:r w:rsidRPr="009B6031">
        <w:t xml:space="preserve">, so die ermunternde Aufforderung von Frau Bundesministerin Köstinger. </w:t>
      </w:r>
    </w:p>
    <w:p w14:paraId="7BE30B2E" w14:textId="33B2E214" w:rsidR="009B6031" w:rsidRDefault="00FA5D8E" w:rsidP="00FA5D8E">
      <w:pPr>
        <w:widowControl w:val="0"/>
        <w:autoSpaceDE w:val="0"/>
        <w:autoSpaceDN w:val="0"/>
        <w:adjustRightInd w:val="0"/>
        <w:jc w:val="both"/>
      </w:pPr>
      <w:r>
        <w:t xml:space="preserve">Der </w:t>
      </w:r>
      <w:r w:rsidRPr="00FA5D8E">
        <w:t xml:space="preserve">Ausschuss Nachhaltiges Bauen der Bundeskammer der ZiviltechnikerInnen </w:t>
      </w:r>
      <w:r>
        <w:t xml:space="preserve">hat </w:t>
      </w:r>
      <w:r w:rsidR="00310B07">
        <w:t xml:space="preserve">namhafte </w:t>
      </w:r>
      <w:r w:rsidR="009B6031" w:rsidRPr="00310B07">
        <w:rPr>
          <w:b/>
        </w:rPr>
        <w:t>Institutionen und ExpertInnen</w:t>
      </w:r>
      <w:r w:rsidR="009B6031" w:rsidRPr="009B6031">
        <w:t xml:space="preserve"> aus dem Bereich Nachhaltigkeit in ganz </w:t>
      </w:r>
      <w:r w:rsidR="009B6031">
        <w:t>Öste</w:t>
      </w:r>
      <w:r w:rsidR="0028034D">
        <w:t>rreich zu dem Thema befragt. Der</w:t>
      </w:r>
      <w:r w:rsidR="009B6031">
        <w:t xml:space="preserve"> nachfolgende </w:t>
      </w:r>
      <w:r w:rsidR="0028034D">
        <w:t>Maßnahmenkatalog</w:t>
      </w:r>
      <w:r w:rsidR="009B6031" w:rsidRPr="009B6031">
        <w:t xml:space="preserve"> </w:t>
      </w:r>
      <w:r w:rsidR="0092260F">
        <w:t xml:space="preserve">stellt die konsolidierten </w:t>
      </w:r>
      <w:r w:rsidR="009B6031" w:rsidRPr="00310B07">
        <w:rPr>
          <w:b/>
        </w:rPr>
        <w:t>konkrete</w:t>
      </w:r>
      <w:r w:rsidR="0092260F">
        <w:rPr>
          <w:b/>
        </w:rPr>
        <w:t>n</w:t>
      </w:r>
      <w:r w:rsidR="009B6031" w:rsidRPr="00310B07">
        <w:rPr>
          <w:b/>
        </w:rPr>
        <w:t xml:space="preserve"> Vorschläge </w:t>
      </w:r>
      <w:r w:rsidR="0092260F">
        <w:rPr>
          <w:b/>
        </w:rPr>
        <w:t xml:space="preserve">der ExpertInnen </w:t>
      </w:r>
      <w:r w:rsidR="009B6031" w:rsidRPr="00310B07">
        <w:rPr>
          <w:b/>
        </w:rPr>
        <w:t>zur weiteren Umsetzung der MISSION 2030</w:t>
      </w:r>
      <w:r w:rsidR="00733A2D">
        <w:rPr>
          <w:b/>
        </w:rPr>
        <w:t xml:space="preserve"> </w:t>
      </w:r>
      <w:r w:rsidR="00733A2D" w:rsidRPr="00733A2D">
        <w:t xml:space="preserve">aus der Perspektive des </w:t>
      </w:r>
      <w:r w:rsidR="00733A2D">
        <w:t xml:space="preserve">nachhaltigen </w:t>
      </w:r>
      <w:r w:rsidR="00733A2D" w:rsidRPr="00733A2D">
        <w:t>Bauens</w:t>
      </w:r>
      <w:r w:rsidR="0092260F">
        <w:t xml:space="preserve"> dar</w:t>
      </w:r>
      <w:r w:rsidR="009B6031" w:rsidRPr="00733A2D">
        <w:t>.</w:t>
      </w:r>
      <w:r w:rsidR="009B6031">
        <w:t xml:space="preserve"> </w:t>
      </w:r>
    </w:p>
    <w:p w14:paraId="32F0BA86" w14:textId="68F0507F" w:rsidR="009445DF" w:rsidRDefault="009B6031" w:rsidP="00FA5D8E">
      <w:pPr>
        <w:jc w:val="both"/>
      </w:pPr>
      <w:r>
        <w:t xml:space="preserve">Der Maßnahmenkatalog </w:t>
      </w:r>
      <w:r w:rsidR="00310B07" w:rsidRPr="00310B07">
        <w:rPr>
          <w:b/>
          <w:color w:val="C70202"/>
        </w:rPr>
        <w:t>„Mission 2030 Konkret“</w:t>
      </w:r>
      <w:r w:rsidR="00310B07">
        <w:t xml:space="preserve"> </w:t>
      </w:r>
      <w:r w:rsidR="009463F1">
        <w:t xml:space="preserve">wird </w:t>
      </w:r>
      <w:r>
        <w:t xml:space="preserve">bei einer Podiumsdiskussion am 29.11.2018 </w:t>
      </w:r>
      <w:r w:rsidRPr="009B6031">
        <w:t xml:space="preserve">ausgewählten VertreterInnen der </w:t>
      </w:r>
      <w:r w:rsidR="009E508D">
        <w:t>Politik</w:t>
      </w:r>
      <w:r w:rsidRPr="009B6031">
        <w:t xml:space="preserve"> vorgestellt</w:t>
      </w:r>
      <w:r w:rsidR="00574D11">
        <w:t xml:space="preserve">, </w:t>
      </w:r>
      <w:r w:rsidR="009463F1">
        <w:t>die</w:t>
      </w:r>
      <w:r w:rsidR="00FA5D8E">
        <w:t xml:space="preserve"> Zielgruppe </w:t>
      </w:r>
      <w:r w:rsidR="00574D11">
        <w:t xml:space="preserve">des Maßnahmenkatalogs </w:t>
      </w:r>
      <w:r w:rsidR="00FA5D8E">
        <w:t xml:space="preserve">sind die </w:t>
      </w:r>
      <w:r w:rsidR="00FA5D8E" w:rsidRPr="00310B07">
        <w:rPr>
          <w:b/>
        </w:rPr>
        <w:t xml:space="preserve">Bundesregierung und </w:t>
      </w:r>
      <w:r w:rsidR="00FA5D8E" w:rsidRPr="00FA5D8E">
        <w:rPr>
          <w:b/>
        </w:rPr>
        <w:t>Ministerien</w:t>
      </w:r>
      <w:r w:rsidR="00FA5D8E">
        <w:t>.</w:t>
      </w:r>
    </w:p>
    <w:p w14:paraId="2E1EFFBE" w14:textId="77777777" w:rsidR="001B2873" w:rsidRDefault="001B2873" w:rsidP="009445DF">
      <w:pPr>
        <w:jc w:val="both"/>
        <w:rPr>
          <w:b/>
          <w:sz w:val="28"/>
          <w:szCs w:val="28"/>
        </w:rPr>
      </w:pPr>
    </w:p>
    <w:p w14:paraId="7590ED1F" w14:textId="6DD2DF2A" w:rsidR="009445DF" w:rsidRDefault="0088034D" w:rsidP="009445DF">
      <w:pPr>
        <w:jc w:val="both"/>
      </w:pPr>
      <w:r>
        <w:t>D</w:t>
      </w:r>
      <w:r w:rsidR="00733A2D">
        <w:t xml:space="preserve">er folgende Maßnahmenkatalog </w:t>
      </w:r>
      <w:r w:rsidR="006E1C9B">
        <w:t>„Mission 2030 Konkret“</w:t>
      </w:r>
      <w:r w:rsidR="009445DF">
        <w:t xml:space="preserve"> </w:t>
      </w:r>
      <w:r>
        <w:t xml:space="preserve">enthält umsetzbare </w:t>
      </w:r>
      <w:r w:rsidR="00574D11">
        <w:t xml:space="preserve">und konkrete </w:t>
      </w:r>
      <w:r>
        <w:t xml:space="preserve">Maßnahmen </w:t>
      </w:r>
      <w:r w:rsidR="009445DF">
        <w:t xml:space="preserve">in </w:t>
      </w:r>
      <w:r w:rsidR="00F86335">
        <w:t xml:space="preserve">vier </w:t>
      </w:r>
      <w:r w:rsidR="00A864F9">
        <w:t>Themenfelder</w:t>
      </w:r>
      <w:r>
        <w:t>n</w:t>
      </w:r>
      <w:r w:rsidR="009445DF">
        <w:t xml:space="preserve">: </w:t>
      </w:r>
    </w:p>
    <w:p w14:paraId="2CAEF257" w14:textId="42414622" w:rsidR="00A864F9" w:rsidRPr="00285BE3" w:rsidRDefault="00837A04" w:rsidP="00A864F9">
      <w:pPr>
        <w:widowControl w:val="0"/>
        <w:autoSpaceDE w:val="0"/>
        <w:autoSpaceDN w:val="0"/>
        <w:adjustRightInd w:val="0"/>
        <w:ind w:left="708"/>
        <w:contextualSpacing/>
        <w:jc w:val="both"/>
      </w:pPr>
      <w:r>
        <w:rPr>
          <w:b/>
        </w:rPr>
        <w:t xml:space="preserve">- </w:t>
      </w:r>
      <w:r w:rsidR="00A864F9" w:rsidRPr="00285BE3">
        <w:rPr>
          <w:b/>
        </w:rPr>
        <w:t>Städtebau, Raumplanung und überregionale Strategien</w:t>
      </w:r>
    </w:p>
    <w:p w14:paraId="4E93C3EE" w14:textId="31B1F764" w:rsidR="00A864F9" w:rsidRDefault="00837A04" w:rsidP="00A864F9">
      <w:pPr>
        <w:widowControl w:val="0"/>
        <w:autoSpaceDE w:val="0"/>
        <w:autoSpaceDN w:val="0"/>
        <w:adjustRightInd w:val="0"/>
        <w:ind w:left="708"/>
        <w:contextualSpacing/>
        <w:jc w:val="both"/>
        <w:rPr>
          <w:b/>
        </w:rPr>
      </w:pPr>
      <w:r>
        <w:rPr>
          <w:b/>
        </w:rPr>
        <w:t xml:space="preserve">- </w:t>
      </w:r>
      <w:r w:rsidR="00A864F9" w:rsidRPr="00285BE3">
        <w:rPr>
          <w:b/>
        </w:rPr>
        <w:t xml:space="preserve">Effizienz, </w:t>
      </w:r>
      <w:r w:rsidR="00F86335">
        <w:rPr>
          <w:b/>
        </w:rPr>
        <w:t>Sanierung</w:t>
      </w:r>
      <w:r w:rsidR="005C6940">
        <w:rPr>
          <w:b/>
        </w:rPr>
        <w:t xml:space="preserve"> und Nutzungsoffenheit</w:t>
      </w:r>
    </w:p>
    <w:p w14:paraId="27A19453" w14:textId="205DE0EB" w:rsidR="00F86335" w:rsidRPr="00285BE3" w:rsidRDefault="00F86335" w:rsidP="00A864F9">
      <w:pPr>
        <w:widowControl w:val="0"/>
        <w:autoSpaceDE w:val="0"/>
        <w:autoSpaceDN w:val="0"/>
        <w:adjustRightInd w:val="0"/>
        <w:ind w:left="708"/>
        <w:contextualSpacing/>
        <w:jc w:val="both"/>
        <w:rPr>
          <w:b/>
        </w:rPr>
      </w:pPr>
      <w:r>
        <w:rPr>
          <w:b/>
        </w:rPr>
        <w:t>- E</w:t>
      </w:r>
      <w:r w:rsidR="00E76170">
        <w:rPr>
          <w:b/>
        </w:rPr>
        <w:t>nergiekosten, Energieversorgung</w:t>
      </w:r>
      <w:r>
        <w:rPr>
          <w:b/>
        </w:rPr>
        <w:t xml:space="preserve"> und </w:t>
      </w:r>
      <w:r w:rsidR="00E76170">
        <w:rPr>
          <w:b/>
        </w:rPr>
        <w:t>-</w:t>
      </w:r>
      <w:r>
        <w:rPr>
          <w:b/>
        </w:rPr>
        <w:t>Speicherung</w:t>
      </w:r>
    </w:p>
    <w:p w14:paraId="15D05083" w14:textId="37B0E307" w:rsidR="00A864F9" w:rsidRPr="00285BE3" w:rsidRDefault="00837A04" w:rsidP="00A864F9">
      <w:pPr>
        <w:widowControl w:val="0"/>
        <w:autoSpaceDE w:val="0"/>
        <w:autoSpaceDN w:val="0"/>
        <w:adjustRightInd w:val="0"/>
        <w:ind w:left="708"/>
        <w:contextualSpacing/>
        <w:jc w:val="both"/>
        <w:rPr>
          <w:b/>
        </w:rPr>
      </w:pPr>
      <w:r>
        <w:rPr>
          <w:b/>
        </w:rPr>
        <w:t xml:space="preserve">- </w:t>
      </w:r>
      <w:r w:rsidR="00A864F9" w:rsidRPr="00285BE3">
        <w:rPr>
          <w:b/>
        </w:rPr>
        <w:t xml:space="preserve">Rohstoffe, Lebenszyklus und Kreislaufwirtschaft </w:t>
      </w:r>
    </w:p>
    <w:p w14:paraId="64A5725A" w14:textId="77777777" w:rsidR="00716299" w:rsidRDefault="00716299" w:rsidP="00716299">
      <w:pPr>
        <w:widowControl w:val="0"/>
        <w:autoSpaceDE w:val="0"/>
        <w:autoSpaceDN w:val="0"/>
        <w:adjustRightInd w:val="0"/>
        <w:jc w:val="both"/>
      </w:pPr>
    </w:p>
    <w:p w14:paraId="2AE04C8D" w14:textId="5F2798DB" w:rsidR="009445DF" w:rsidRDefault="00A864F9" w:rsidP="009B6031">
      <w:pPr>
        <w:widowControl w:val="0"/>
        <w:autoSpaceDE w:val="0"/>
        <w:autoSpaceDN w:val="0"/>
        <w:adjustRightInd w:val="0"/>
        <w:jc w:val="both"/>
      </w:pPr>
      <w:r>
        <w:t>Um eine klare Zuordnung der Zuständigkeiten zu ermöglichen, ist j</w:t>
      </w:r>
      <w:r w:rsidR="00285BE3">
        <w:t xml:space="preserve">edes </w:t>
      </w:r>
      <w:r>
        <w:t xml:space="preserve">Themenfeld </w:t>
      </w:r>
      <w:r w:rsidR="00285BE3">
        <w:t xml:space="preserve">in drei </w:t>
      </w:r>
      <w:r>
        <w:t>Maßnahmenbündel</w:t>
      </w:r>
      <w:r w:rsidR="0088034D">
        <w:t xml:space="preserve"> unterteilt</w:t>
      </w:r>
      <w:r w:rsidR="00285BE3">
        <w:t xml:space="preserve">: </w:t>
      </w:r>
    </w:p>
    <w:p w14:paraId="5492F76A" w14:textId="5CFC7415" w:rsidR="00A864F9" w:rsidRPr="00837A04" w:rsidRDefault="00716299" w:rsidP="00716299">
      <w:pPr>
        <w:widowControl w:val="0"/>
        <w:autoSpaceDE w:val="0"/>
        <w:autoSpaceDN w:val="0"/>
        <w:adjustRightInd w:val="0"/>
        <w:ind w:left="708"/>
        <w:contextualSpacing/>
        <w:rPr>
          <w:b/>
        </w:rPr>
      </w:pPr>
      <w:r>
        <w:rPr>
          <w:b/>
        </w:rPr>
        <w:t xml:space="preserve">1. </w:t>
      </w:r>
      <w:r w:rsidR="00A864F9" w:rsidRPr="00837A04">
        <w:rPr>
          <w:b/>
        </w:rPr>
        <w:t xml:space="preserve">Regulative Maßnahmen, </w:t>
      </w:r>
      <w:r w:rsidR="00A864F9" w:rsidRPr="002B106D">
        <w:t>darunter fallen z.B. Gesetze, Verordnungen und Normen.</w:t>
      </w:r>
      <w:r w:rsidR="00A864F9" w:rsidRPr="00837A04">
        <w:rPr>
          <w:b/>
        </w:rPr>
        <w:t xml:space="preserve"> </w:t>
      </w:r>
    </w:p>
    <w:p w14:paraId="252A8DC1" w14:textId="3B6F8BE4" w:rsidR="00A864F9" w:rsidRDefault="00837A04" w:rsidP="00837A04">
      <w:pPr>
        <w:ind w:left="708"/>
        <w:contextualSpacing/>
      </w:pPr>
      <w:r>
        <w:rPr>
          <w:b/>
        </w:rPr>
        <w:t xml:space="preserve">2. </w:t>
      </w:r>
      <w:r w:rsidR="00A864F9" w:rsidRPr="009445DF">
        <w:rPr>
          <w:b/>
        </w:rPr>
        <w:t>Anreizsysteme</w:t>
      </w:r>
      <w:r w:rsidR="00A864F9">
        <w:t xml:space="preserve">, wie z.B. </w:t>
      </w:r>
      <w:r w:rsidR="00A864F9" w:rsidRPr="009445DF">
        <w:t>Förderun</w:t>
      </w:r>
      <w:r w:rsidR="00A864F9">
        <w:t>gen, steuerliche Anreizsysteme,</w:t>
      </w:r>
      <w:r w:rsidR="00A864F9" w:rsidRPr="009445DF">
        <w:t xml:space="preserve"> Finanzie</w:t>
      </w:r>
      <w:r w:rsidR="00A864F9">
        <w:t xml:space="preserve">rungsmodelle oder Vereinfachungen bei Genehmigungsverfahren. </w:t>
      </w:r>
    </w:p>
    <w:p w14:paraId="459B7986" w14:textId="415672A9" w:rsidR="003E23F3" w:rsidRDefault="00837A04" w:rsidP="00837A04">
      <w:pPr>
        <w:ind w:left="708"/>
        <w:contextualSpacing/>
      </w:pPr>
      <w:r>
        <w:rPr>
          <w:b/>
        </w:rPr>
        <w:t xml:space="preserve">3. </w:t>
      </w:r>
      <w:r w:rsidR="00A864F9" w:rsidRPr="00285BE3">
        <w:rPr>
          <w:b/>
        </w:rPr>
        <w:t>Begleitmaßnahmen</w:t>
      </w:r>
      <w:r w:rsidR="00A864F9">
        <w:rPr>
          <w:b/>
        </w:rPr>
        <w:t xml:space="preserve"> </w:t>
      </w:r>
      <w:r w:rsidR="00A864F9" w:rsidRPr="00485E40">
        <w:t xml:space="preserve">inkludieren unter </w:t>
      </w:r>
      <w:r w:rsidR="00A864F9">
        <w:t>a</w:t>
      </w:r>
      <w:r w:rsidR="00A864F9" w:rsidRPr="00485E40">
        <w:t>nderem begleitende</w:t>
      </w:r>
      <w:r w:rsidR="00A864F9" w:rsidRPr="009445DF">
        <w:t xml:space="preserve"> Forschung</w:t>
      </w:r>
      <w:r w:rsidR="00A864F9">
        <w:t>,</w:t>
      </w:r>
      <w:r w:rsidR="00A864F9" w:rsidRPr="009445DF">
        <w:t xml:space="preserve"> Monitoring</w:t>
      </w:r>
      <w:r w:rsidR="00A864F9">
        <w:t>,</w:t>
      </w:r>
      <w:r w:rsidR="00A864F9" w:rsidRPr="009445DF">
        <w:t xml:space="preserve"> Ausbildung</w:t>
      </w:r>
      <w:r w:rsidR="00A864F9">
        <w:t>,</w:t>
      </w:r>
      <w:r w:rsidR="00A864F9" w:rsidRPr="009445DF">
        <w:t xml:space="preserve"> Weiterbildung</w:t>
      </w:r>
      <w:r w:rsidR="00A864F9">
        <w:t>,</w:t>
      </w:r>
      <w:r w:rsidR="00A864F9" w:rsidRPr="009445DF">
        <w:t xml:space="preserve"> Öffentli</w:t>
      </w:r>
      <w:r w:rsidR="00A864F9">
        <w:t xml:space="preserve">chkeitsarbeit, Netzwerk- oder </w:t>
      </w:r>
      <w:r w:rsidR="00A864F9" w:rsidRPr="009445DF">
        <w:t>Bewusstseinsbild</w:t>
      </w:r>
      <w:r w:rsidR="00A864F9">
        <w:t xml:space="preserve">ung. </w:t>
      </w:r>
    </w:p>
    <w:p w14:paraId="06ED318F" w14:textId="77777777" w:rsidR="00A864F9" w:rsidRDefault="00A864F9" w:rsidP="00C211F7">
      <w:pPr>
        <w:widowControl w:val="0"/>
        <w:autoSpaceDE w:val="0"/>
        <w:autoSpaceDN w:val="0"/>
        <w:adjustRightInd w:val="0"/>
        <w:jc w:val="both"/>
      </w:pPr>
    </w:p>
    <w:p w14:paraId="43E9E437" w14:textId="7BA28A29" w:rsidR="00733A2D" w:rsidRDefault="00C211F7" w:rsidP="00C211F7">
      <w:pPr>
        <w:jc w:val="both"/>
      </w:pPr>
      <w:r>
        <w:t xml:space="preserve">Die einzelnen Maßnahmen stellen jeweils die </w:t>
      </w:r>
      <w:r w:rsidRPr="00733A2D">
        <w:rPr>
          <w:b/>
        </w:rPr>
        <w:t>dringlichsten</w:t>
      </w:r>
      <w:r>
        <w:t xml:space="preserve"> </w:t>
      </w:r>
      <w:r w:rsidR="0092260F">
        <w:t xml:space="preserve">Vorhaben </w:t>
      </w:r>
      <w:r>
        <w:t xml:space="preserve">dar, die aus der </w:t>
      </w:r>
      <w:r w:rsidRPr="00733A2D">
        <w:rPr>
          <w:b/>
        </w:rPr>
        <w:t>Perspektive des nachhaltigen Bauens</w:t>
      </w:r>
      <w:r>
        <w:t xml:space="preserve"> im Rahmen der aktuell</w:t>
      </w:r>
      <w:r w:rsidR="00733A2D">
        <w:t>en Klima- und Energiestrategie konkret und unmittelbar umgesetzt werden sollen</w:t>
      </w:r>
      <w:r>
        <w:t xml:space="preserve">. </w:t>
      </w:r>
    </w:p>
    <w:p w14:paraId="11B74BA0" w14:textId="5E73A505" w:rsidR="00C211F7" w:rsidRDefault="00C211F7" w:rsidP="00C211F7">
      <w:pPr>
        <w:jc w:val="both"/>
      </w:pPr>
      <w:r>
        <w:t xml:space="preserve">Die Maßnahmen weisen </w:t>
      </w:r>
      <w:r w:rsidR="00C71551">
        <w:t>eine hohe Umsetzungsrelevanz auf</w:t>
      </w:r>
      <w:r w:rsidR="00C26FE6">
        <w:t xml:space="preserve"> und </w:t>
      </w:r>
      <w:r>
        <w:t xml:space="preserve">sind </w:t>
      </w:r>
      <w:r w:rsidR="00733A2D">
        <w:t xml:space="preserve">von den beitragenden AutorInnen basierend auf deren jeweiliger </w:t>
      </w:r>
      <w:r w:rsidR="00733A2D" w:rsidRPr="00733A2D">
        <w:rPr>
          <w:b/>
        </w:rPr>
        <w:t xml:space="preserve">Expertise sowie </w:t>
      </w:r>
      <w:r w:rsidR="00733A2D">
        <w:rPr>
          <w:b/>
        </w:rPr>
        <w:t xml:space="preserve">ggf. </w:t>
      </w:r>
      <w:r w:rsidR="00733A2D" w:rsidRPr="00733A2D">
        <w:rPr>
          <w:b/>
        </w:rPr>
        <w:t xml:space="preserve">vorangehenden </w:t>
      </w:r>
      <w:r w:rsidRPr="00733A2D">
        <w:rPr>
          <w:b/>
        </w:rPr>
        <w:t xml:space="preserve">Studien </w:t>
      </w:r>
      <w:r w:rsidR="00733A2D">
        <w:rPr>
          <w:b/>
        </w:rPr>
        <w:t xml:space="preserve">und </w:t>
      </w:r>
      <w:r w:rsidRPr="00733A2D">
        <w:rPr>
          <w:b/>
        </w:rPr>
        <w:t>Datenmaterial</w:t>
      </w:r>
      <w:r w:rsidR="00733A2D">
        <w:rPr>
          <w:b/>
        </w:rPr>
        <w:t xml:space="preserve"> </w:t>
      </w:r>
      <w:r w:rsidR="00733A2D" w:rsidRPr="00733A2D">
        <w:t>im Themenfeld</w:t>
      </w:r>
      <w:r w:rsidRPr="00733A2D">
        <w:t xml:space="preserve"> belegt</w:t>
      </w:r>
      <w:r>
        <w:t xml:space="preserve">. </w:t>
      </w:r>
    </w:p>
    <w:p w14:paraId="7376A5A6" w14:textId="52FD0E7B" w:rsidR="00B249E4" w:rsidRDefault="00B249E4" w:rsidP="00C211F7">
      <w:pPr>
        <w:jc w:val="both"/>
      </w:pPr>
      <w:r>
        <w:br w:type="page"/>
      </w:r>
    </w:p>
    <w:p w14:paraId="5F8B519B" w14:textId="027AB8BD" w:rsidR="0063091A" w:rsidRPr="007F1B05" w:rsidRDefault="00886653" w:rsidP="007F1B0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1 </w:t>
      </w:r>
      <w:r w:rsidR="00651838">
        <w:rPr>
          <w:sz w:val="32"/>
          <w:szCs w:val="32"/>
        </w:rPr>
        <w:t>STÄDTEBAU, RAUMPLANUNG UND ÜBERREGIONALE STRATEGIEN</w:t>
      </w: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B249E4" w14:paraId="11C1627B" w14:textId="77777777" w:rsidTr="00E2149F">
        <w:tc>
          <w:tcPr>
            <w:tcW w:w="9212" w:type="dxa"/>
            <w:shd w:val="clear" w:color="auto" w:fill="57973A"/>
          </w:tcPr>
          <w:p w14:paraId="300FA6F7" w14:textId="6385299F" w:rsidR="00E535E2" w:rsidRPr="00B65FA6" w:rsidRDefault="00E535E2">
            <w:pPr>
              <w:rPr>
                <w:b/>
                <w:color w:val="FFFFFF" w:themeColor="background1"/>
              </w:rPr>
            </w:pPr>
            <w:r w:rsidRPr="00B65FA6">
              <w:rPr>
                <w:b/>
                <w:color w:val="FFFFFF" w:themeColor="background1"/>
              </w:rPr>
              <w:t>1</w:t>
            </w:r>
          </w:p>
          <w:p w14:paraId="63460F2F" w14:textId="7F407895" w:rsidR="00B249E4" w:rsidRPr="00B249E4" w:rsidRDefault="00B71F2A">
            <w:r>
              <w:rPr>
                <w:color w:val="FFFFFF" w:themeColor="background1"/>
              </w:rPr>
              <w:t>REGULATIVE MASSNAHMEN</w:t>
            </w:r>
            <w:r w:rsidR="00B249E4">
              <w:t xml:space="preserve"> </w:t>
            </w:r>
          </w:p>
        </w:tc>
      </w:tr>
      <w:tr w:rsidR="00B249E4" w14:paraId="6AE8A82E" w14:textId="77777777" w:rsidTr="00E2149F">
        <w:tc>
          <w:tcPr>
            <w:tcW w:w="9212" w:type="dxa"/>
          </w:tcPr>
          <w:p w14:paraId="302D2978" w14:textId="3B592113" w:rsidR="00B249E4" w:rsidRPr="00922B63" w:rsidRDefault="00B249E4" w:rsidP="00A325E6">
            <w:pPr>
              <w:pStyle w:val="KeinLeerraum"/>
            </w:pPr>
          </w:p>
          <w:p w14:paraId="414FA75F" w14:textId="6CDCFD9E" w:rsidR="00C81AAE" w:rsidRPr="00C81AAE" w:rsidRDefault="0006682E" w:rsidP="00DB6217">
            <w:pPr>
              <w:pStyle w:val="KeinLeerraum"/>
              <w:jc w:val="both"/>
              <w:rPr>
                <w:b/>
              </w:rPr>
            </w:pPr>
            <w:r>
              <w:rPr>
                <w:b/>
              </w:rPr>
              <w:t>1.</w:t>
            </w:r>
            <w:r w:rsidR="00886653">
              <w:rPr>
                <w:b/>
              </w:rPr>
              <w:t xml:space="preserve">1.1 </w:t>
            </w:r>
            <w:r w:rsidR="00C81AAE" w:rsidRPr="00C81AAE">
              <w:rPr>
                <w:b/>
              </w:rPr>
              <w:t xml:space="preserve">Reduktion der Zersiedelung durch verpflichtende Standortkonzepte </w:t>
            </w:r>
            <w:r w:rsidR="00A31E0C">
              <w:rPr>
                <w:b/>
              </w:rPr>
              <w:t>und konkrete Maßnahmen</w:t>
            </w:r>
            <w:r w:rsidR="00B65FA6">
              <w:rPr>
                <w:b/>
              </w:rPr>
              <w:t>:</w:t>
            </w:r>
          </w:p>
          <w:p w14:paraId="378D329D" w14:textId="506D2684" w:rsidR="00C81AAE" w:rsidRDefault="00C81AAE" w:rsidP="00DB6217">
            <w:pPr>
              <w:pStyle w:val="KeinLeerraum"/>
              <w:jc w:val="both"/>
            </w:pPr>
            <w:r>
              <w:t xml:space="preserve">Darstellung der </w:t>
            </w:r>
            <w:r w:rsidR="003C54F4" w:rsidRPr="003C54F4">
              <w:t xml:space="preserve">Wirkung auf andere Infrastrukturbedarfe durch die Standortwahl </w:t>
            </w:r>
            <w:r>
              <w:t xml:space="preserve">bei Umwidmungen; </w:t>
            </w:r>
            <w:r w:rsidR="00C41D98">
              <w:t>B</w:t>
            </w:r>
            <w:r w:rsidR="00BD2D96">
              <w:t>ei negative</w:t>
            </w:r>
            <w:r w:rsidR="00E535E2">
              <w:t>n</w:t>
            </w:r>
            <w:r w:rsidR="00BD2D96">
              <w:t xml:space="preserve"> Auswirkungen (z.</w:t>
            </w:r>
            <w:r w:rsidR="00E535E2">
              <w:t>B</w:t>
            </w:r>
            <w:r w:rsidR="00BD2D96">
              <w:t xml:space="preserve">. gesteigertes Verkehrsaufkommen), ist die Standortwahl zu </w:t>
            </w:r>
            <w:r w:rsidR="00C71551">
              <w:t>prüfen</w:t>
            </w:r>
            <w:r w:rsidR="00BD2D96">
              <w:t xml:space="preserve"> oder mit Abgaben </w:t>
            </w:r>
            <w:r w:rsidR="007F1B05">
              <w:t>zu belegen</w:t>
            </w:r>
            <w:r w:rsidR="00C41D98">
              <w:t>;</w:t>
            </w:r>
            <w:r w:rsidR="00BD2D96" w:rsidRPr="00C81AAE">
              <w:t xml:space="preserve"> </w:t>
            </w:r>
            <w:r w:rsidRPr="00C81AAE">
              <w:t>Raumplanung und Ausrichtung v</w:t>
            </w:r>
            <w:r>
              <w:t>on Betriebsansiedelungen nach ö</w:t>
            </w:r>
            <w:r w:rsidRPr="00C81AAE">
              <w:t>kologischen</w:t>
            </w:r>
            <w:r w:rsidR="00C71551">
              <w:t xml:space="preserve"> Kriterien; V</w:t>
            </w:r>
            <w:r>
              <w:t>erpflichtender Nachweis der Ausschöpfung von Nachverdichtungspotentialen</w:t>
            </w:r>
            <w:r w:rsidR="004048FD">
              <w:t xml:space="preserve"> für Widmungsänderungen</w:t>
            </w:r>
            <w:r w:rsidR="00F70823">
              <w:t>;</w:t>
            </w:r>
            <w:r w:rsidR="007E5ED8">
              <w:t xml:space="preserve"> </w:t>
            </w:r>
            <w:r w:rsidR="00C41D98">
              <w:t xml:space="preserve">Einführung eines Maßnahmensets zur </w:t>
            </w:r>
            <w:r w:rsidR="00A31E0C">
              <w:t>Leerstandsabgabe</w:t>
            </w:r>
            <w:r w:rsidR="00C41D98">
              <w:t xml:space="preserve">, </w:t>
            </w:r>
            <w:r w:rsidR="00A31E0C">
              <w:t>Infrastrukturabgabe</w:t>
            </w:r>
            <w:r w:rsidR="00C41D98">
              <w:t xml:space="preserve">, </w:t>
            </w:r>
            <w:r w:rsidR="00A31E0C">
              <w:t>Flächenabgabe</w:t>
            </w:r>
            <w:r w:rsidR="00C41D98">
              <w:t xml:space="preserve"> und </w:t>
            </w:r>
            <w:r w:rsidR="00A31E0C">
              <w:t>Wertzuwachsabschöpfung</w:t>
            </w:r>
          </w:p>
          <w:p w14:paraId="3EDB92B4" w14:textId="77777777" w:rsidR="00C81AAE" w:rsidRDefault="00C81AAE" w:rsidP="00DB6217">
            <w:pPr>
              <w:pStyle w:val="KeinLeerraum"/>
              <w:jc w:val="both"/>
            </w:pPr>
          </w:p>
          <w:p w14:paraId="74213BA0" w14:textId="74FA8A29" w:rsidR="003C54F4" w:rsidRPr="00A325E6" w:rsidRDefault="0006682E" w:rsidP="00DB6217">
            <w:pPr>
              <w:pStyle w:val="KeinLeerraum"/>
              <w:jc w:val="both"/>
              <w:rPr>
                <w:b/>
              </w:rPr>
            </w:pPr>
            <w:r>
              <w:rPr>
                <w:b/>
              </w:rPr>
              <w:t>1.</w:t>
            </w:r>
            <w:r w:rsidR="00886653">
              <w:rPr>
                <w:b/>
              </w:rPr>
              <w:t xml:space="preserve">1.2 </w:t>
            </w:r>
            <w:r w:rsidR="003C54F4" w:rsidRPr="00A325E6">
              <w:rPr>
                <w:b/>
              </w:rPr>
              <w:t>K</w:t>
            </w:r>
            <w:r w:rsidR="00B65FA6" w:rsidRPr="00A325E6">
              <w:rPr>
                <w:b/>
              </w:rPr>
              <w:t>oordinierte Raumordnungspolitik:</w:t>
            </w:r>
          </w:p>
          <w:p w14:paraId="2BA59133" w14:textId="015363D6" w:rsidR="003C54F4" w:rsidRPr="003C54F4" w:rsidRDefault="005B5DF9" w:rsidP="00DB6217">
            <w:pPr>
              <w:pStyle w:val="KeinLeerraum"/>
              <w:jc w:val="both"/>
            </w:pPr>
            <w:r>
              <w:t>Anpassung der bestehende</w:t>
            </w:r>
            <w:r w:rsidR="002D61A1">
              <w:t>n</w:t>
            </w:r>
            <w:r>
              <w:t xml:space="preserve"> Strukturen für eine e</w:t>
            </w:r>
            <w:r w:rsidR="003C54F4" w:rsidRPr="003C54F4">
              <w:t>inheitliche und strategisch koordinierte Ausri</w:t>
            </w:r>
            <w:r w:rsidR="00FA789D">
              <w:t>chtung der Raumordnungspolitik</w:t>
            </w:r>
            <w:r>
              <w:t xml:space="preserve"> und klare Zuweisung der Kompetenzen </w:t>
            </w:r>
            <w:r w:rsidR="00FA789D">
              <w:t xml:space="preserve">in einer </w:t>
            </w:r>
            <w:r w:rsidR="00432FA9">
              <w:t xml:space="preserve">bundesweiten </w:t>
            </w:r>
            <w:r w:rsidR="00FA789D">
              <w:t>Stelle</w:t>
            </w:r>
            <w:r w:rsidR="00135AC7">
              <w:t xml:space="preserve">; </w:t>
            </w:r>
            <w:r w:rsidR="003C54F4" w:rsidRPr="003C54F4">
              <w:t xml:space="preserve">Festlegung von langfristigen Planungsinstrumenten zwischen Bund, </w:t>
            </w:r>
            <w:r w:rsidR="003C54F4">
              <w:t>Lä</w:t>
            </w:r>
            <w:r w:rsidR="003C54F4" w:rsidRPr="003C54F4">
              <w:t xml:space="preserve">ndern und </w:t>
            </w:r>
            <w:r w:rsidR="003C54F4">
              <w:t>Gemeinden; Ve</w:t>
            </w:r>
            <w:r w:rsidR="003C54F4" w:rsidRPr="003C54F4">
              <w:t xml:space="preserve">rbindliche Zielsetzung </w:t>
            </w:r>
            <w:r w:rsidR="003C54F4">
              <w:t xml:space="preserve">und damit einhergehendes Monitoring </w:t>
            </w:r>
            <w:r w:rsidR="003C54F4" w:rsidRPr="003C54F4">
              <w:t xml:space="preserve">zum Bodenverbrauch </w:t>
            </w:r>
            <w:r w:rsidR="00A31E0C">
              <w:t>auf Basis der von Österreich ratifizierten Alpenkonvention</w:t>
            </w:r>
            <w:r w:rsidR="00C41D98">
              <w:t xml:space="preserve">; </w:t>
            </w:r>
            <w:r w:rsidR="00A31E0C">
              <w:t>Als Instrument zum Monitoring sind die Gru</w:t>
            </w:r>
            <w:r w:rsidR="00C71551">
              <w:t>ndstücksdaten in die Transparenz</w:t>
            </w:r>
            <w:r w:rsidR="00A31E0C">
              <w:t>datenbank verpflichtend einzupflegen</w:t>
            </w:r>
            <w:r w:rsidR="00C41D98">
              <w:t xml:space="preserve"> </w:t>
            </w:r>
          </w:p>
          <w:p w14:paraId="09C0224E" w14:textId="77777777" w:rsidR="003C54F4" w:rsidRDefault="003C54F4" w:rsidP="00DB6217">
            <w:pPr>
              <w:pStyle w:val="KeinLeerraum"/>
              <w:jc w:val="both"/>
            </w:pPr>
          </w:p>
          <w:p w14:paraId="400DCA22" w14:textId="730B075F" w:rsidR="007A7D17" w:rsidRPr="007A7D17" w:rsidRDefault="0006682E" w:rsidP="00DB6217">
            <w:pPr>
              <w:pStyle w:val="KeinLeerraum"/>
              <w:jc w:val="both"/>
              <w:rPr>
                <w:b/>
              </w:rPr>
            </w:pPr>
            <w:r>
              <w:rPr>
                <w:b/>
              </w:rPr>
              <w:t>1.</w:t>
            </w:r>
            <w:r w:rsidR="00886653">
              <w:rPr>
                <w:b/>
              </w:rPr>
              <w:t xml:space="preserve">1.3 </w:t>
            </w:r>
            <w:r w:rsidR="007A7D17" w:rsidRPr="007A7D17">
              <w:rPr>
                <w:b/>
              </w:rPr>
              <w:t xml:space="preserve">Bodenverbrauchsprüfung </w:t>
            </w:r>
            <w:r w:rsidR="00432FA9">
              <w:rPr>
                <w:b/>
              </w:rPr>
              <w:t xml:space="preserve">vorgelagert </w:t>
            </w:r>
            <w:r w:rsidR="00C1132E">
              <w:rPr>
                <w:b/>
              </w:rPr>
              <w:t>zur</w:t>
            </w:r>
            <w:r w:rsidR="00C41D98">
              <w:rPr>
                <w:b/>
              </w:rPr>
              <w:t xml:space="preserve"> </w:t>
            </w:r>
            <w:r w:rsidR="007A7D17" w:rsidRPr="007A7D17">
              <w:rPr>
                <w:b/>
              </w:rPr>
              <w:t xml:space="preserve">Umweltverträglichkeitsprüfung </w:t>
            </w:r>
            <w:r w:rsidR="005B5DF9">
              <w:rPr>
                <w:b/>
              </w:rPr>
              <w:t xml:space="preserve">(UVP) </w:t>
            </w:r>
            <w:r w:rsidR="007A7D17" w:rsidRPr="007A7D17">
              <w:rPr>
                <w:b/>
              </w:rPr>
              <w:t>und der strategischen Umweltprüfung</w:t>
            </w:r>
            <w:r w:rsidR="007A7D17">
              <w:rPr>
                <w:b/>
              </w:rPr>
              <w:t xml:space="preserve">: </w:t>
            </w:r>
          </w:p>
          <w:p w14:paraId="48504106" w14:textId="066B7BA2" w:rsidR="00B249E4" w:rsidRDefault="00432FA9" w:rsidP="00DB6217">
            <w:pPr>
              <w:pStyle w:val="KeinLeerraum"/>
              <w:jc w:val="both"/>
            </w:pPr>
            <w:r>
              <w:t xml:space="preserve">Die </w:t>
            </w:r>
            <w:r w:rsidR="007A7D17">
              <w:t xml:space="preserve">Prüfung der Standorteignung und Standortalternativen </w:t>
            </w:r>
            <w:r>
              <w:t xml:space="preserve">muss bei vorgelagerten Widmungen im Vorfeld </w:t>
            </w:r>
            <w:r w:rsidR="007A7D17">
              <w:t xml:space="preserve">bei jedem </w:t>
            </w:r>
            <w:r w:rsidR="002D61A1">
              <w:t>UVP-</w:t>
            </w:r>
            <w:r w:rsidR="007A7D17">
              <w:t>pflichtigen Bauvorhaben</w:t>
            </w:r>
            <w:r w:rsidR="00C1132E">
              <w:t xml:space="preserve"> bereits erfolgt sein</w:t>
            </w:r>
            <w:r w:rsidR="007A7D17">
              <w:t xml:space="preserve">; Berücksichtigung des Flächenverbrauchsaspekts bei allen strategischen </w:t>
            </w:r>
            <w:r w:rsidR="005B5DF9">
              <w:t xml:space="preserve">Planungen </w:t>
            </w:r>
            <w:r w:rsidR="007A7D17">
              <w:t xml:space="preserve">und </w:t>
            </w:r>
            <w:r w:rsidR="005B5DF9">
              <w:t>Förderp</w:t>
            </w:r>
            <w:r w:rsidR="007A7D17">
              <w:t>rogrammen, welche die Ressource Boden betreffen</w:t>
            </w:r>
            <w:r w:rsidR="00C41D98">
              <w:t xml:space="preserve">; </w:t>
            </w:r>
            <w:r w:rsidR="00C1132E">
              <w:t>Kürzung der Förderungen nach Bodenverbrauch</w:t>
            </w:r>
            <w:r w:rsidR="004048FD">
              <w:t xml:space="preserve">; Reduktion des </w:t>
            </w:r>
            <w:r w:rsidR="00F70823">
              <w:t xml:space="preserve">neuen </w:t>
            </w:r>
            <w:r w:rsidR="004048FD">
              <w:t>Bodenverbrauchs pro Jahr um mindestens 10%</w:t>
            </w:r>
          </w:p>
          <w:p w14:paraId="2300EBF6" w14:textId="77777777" w:rsidR="00406A76" w:rsidRDefault="00406A76" w:rsidP="00DB6217">
            <w:pPr>
              <w:pStyle w:val="KeinLeerraum"/>
              <w:jc w:val="both"/>
            </w:pPr>
          </w:p>
          <w:p w14:paraId="75690FAF" w14:textId="0D04B3E3" w:rsidR="00406A76" w:rsidRPr="00406A76" w:rsidRDefault="0006682E" w:rsidP="00DB6217">
            <w:pPr>
              <w:pStyle w:val="KeinLeerraum"/>
              <w:jc w:val="both"/>
              <w:rPr>
                <w:b/>
              </w:rPr>
            </w:pPr>
            <w:r>
              <w:rPr>
                <w:b/>
              </w:rPr>
              <w:t>1.</w:t>
            </w:r>
            <w:r w:rsidR="00886653">
              <w:rPr>
                <w:b/>
              </w:rPr>
              <w:t xml:space="preserve">1.4 </w:t>
            </w:r>
            <w:r w:rsidR="00406A76" w:rsidRPr="00406A76">
              <w:rPr>
                <w:b/>
              </w:rPr>
              <w:t>Umsetzung der Baukulturellen Leitlinien des Bundes</w:t>
            </w:r>
            <w:r w:rsidR="00406A76">
              <w:rPr>
                <w:b/>
              </w:rPr>
              <w:t>:</w:t>
            </w:r>
          </w:p>
          <w:p w14:paraId="6F4C64B6" w14:textId="0D2E0507" w:rsidR="00B249E4" w:rsidRDefault="00406A76" w:rsidP="00DB6217">
            <w:pPr>
              <w:pStyle w:val="KeinLeerraum"/>
              <w:jc w:val="both"/>
            </w:pPr>
            <w:r>
              <w:t xml:space="preserve">Forcierte </w:t>
            </w:r>
            <w:r w:rsidR="001F4796">
              <w:t xml:space="preserve">und wirkungsorientierte </w:t>
            </w:r>
            <w:r>
              <w:t xml:space="preserve">Umsetzung der Maßnahmen, die im Rahmen der </w:t>
            </w:r>
            <w:r w:rsidRPr="00406A76">
              <w:rPr>
                <w:i/>
              </w:rPr>
              <w:t>Baukulturellen Leitlinien des Bundes</w:t>
            </w:r>
            <w:r>
              <w:t xml:space="preserve"> (Beschlussfassung BKB 28.06.2017) publiziert wurden; Insbesondere Leitlinie 5</w:t>
            </w:r>
            <w:r w:rsidR="001F4796">
              <w:t xml:space="preserve">: </w:t>
            </w:r>
            <w:r>
              <w:t>Nachhaltigkeitsprinzip anwenden und weiterentwickeln, Leitlinie 17</w:t>
            </w:r>
            <w:r w:rsidR="001F4796">
              <w:t xml:space="preserve">: </w:t>
            </w:r>
            <w:r>
              <w:t>Baukulturell relevante Lenkungsinstrumente ausbauen und Leitlinie 18</w:t>
            </w:r>
            <w:r w:rsidR="001F4796">
              <w:t xml:space="preserve">: </w:t>
            </w:r>
            <w:r>
              <w:t>Öffentliche Mittel für das Bauen und Erneuern an Qualitätskriterien binden</w:t>
            </w:r>
          </w:p>
          <w:p w14:paraId="42EBCB72" w14:textId="5CE4C033" w:rsidR="002D1CBF" w:rsidRPr="00D96B9C" w:rsidRDefault="002D1CBF">
            <w:pPr>
              <w:rPr>
                <w:sz w:val="16"/>
                <w:szCs w:val="16"/>
              </w:rPr>
            </w:pPr>
          </w:p>
        </w:tc>
      </w:tr>
      <w:tr w:rsidR="00B71F2A" w14:paraId="3B00D0DE" w14:textId="77777777" w:rsidTr="00E535E2">
        <w:tc>
          <w:tcPr>
            <w:tcW w:w="9212" w:type="dxa"/>
            <w:shd w:val="clear" w:color="auto" w:fill="57973A"/>
          </w:tcPr>
          <w:p w14:paraId="337EBF73" w14:textId="20837758" w:rsidR="00E535E2" w:rsidRPr="00B65FA6" w:rsidRDefault="00E535E2" w:rsidP="00E535E2">
            <w:pPr>
              <w:rPr>
                <w:b/>
                <w:color w:val="FFFFFF" w:themeColor="background1"/>
              </w:rPr>
            </w:pPr>
            <w:r w:rsidRPr="00B65FA6">
              <w:rPr>
                <w:b/>
                <w:color w:val="FFFFFF" w:themeColor="background1"/>
              </w:rPr>
              <w:t>2</w:t>
            </w:r>
          </w:p>
          <w:p w14:paraId="0920664A" w14:textId="1524C459" w:rsidR="00B71F2A" w:rsidRPr="00B249E4" w:rsidRDefault="00B71F2A" w:rsidP="00E535E2">
            <w:r>
              <w:rPr>
                <w:color w:val="FFFFFF" w:themeColor="background1"/>
              </w:rPr>
              <w:t>ANREIZSYSTEME</w:t>
            </w:r>
            <w:r>
              <w:t xml:space="preserve"> </w:t>
            </w:r>
          </w:p>
        </w:tc>
      </w:tr>
      <w:tr w:rsidR="00B71F2A" w14:paraId="65BB349A" w14:textId="77777777" w:rsidTr="00E535E2">
        <w:tc>
          <w:tcPr>
            <w:tcW w:w="9212" w:type="dxa"/>
          </w:tcPr>
          <w:p w14:paraId="2959A007" w14:textId="099F6A58" w:rsidR="00B71F2A" w:rsidRPr="00922B63" w:rsidRDefault="00B71F2A" w:rsidP="00A325E6">
            <w:pPr>
              <w:pStyle w:val="KeinLeerraum"/>
            </w:pPr>
          </w:p>
          <w:p w14:paraId="6E5CFC0A" w14:textId="20BA5844" w:rsidR="00B71F2A" w:rsidRPr="0069005C" w:rsidRDefault="0006682E" w:rsidP="00DB6217">
            <w:pPr>
              <w:pStyle w:val="KeinLeerraum"/>
              <w:jc w:val="both"/>
              <w:rPr>
                <w:b/>
              </w:rPr>
            </w:pPr>
            <w:r>
              <w:rPr>
                <w:b/>
              </w:rPr>
              <w:t>1.</w:t>
            </w:r>
            <w:r w:rsidR="00886653">
              <w:rPr>
                <w:b/>
              </w:rPr>
              <w:t xml:space="preserve">2.1 </w:t>
            </w:r>
            <w:r w:rsidR="00B71F2A" w:rsidRPr="0069005C">
              <w:rPr>
                <w:b/>
              </w:rPr>
              <w:t xml:space="preserve">Ökologische Steuerreform und </w:t>
            </w:r>
            <w:r w:rsidR="00C41D98">
              <w:rPr>
                <w:b/>
              </w:rPr>
              <w:t>Beendigung</w:t>
            </w:r>
            <w:r w:rsidR="00C41D98" w:rsidRPr="0069005C">
              <w:rPr>
                <w:b/>
              </w:rPr>
              <w:t xml:space="preserve"> </w:t>
            </w:r>
            <w:r w:rsidR="00B71F2A">
              <w:rPr>
                <w:b/>
              </w:rPr>
              <w:t xml:space="preserve">von </w:t>
            </w:r>
            <w:r w:rsidR="00B71F2A" w:rsidRPr="0069005C">
              <w:rPr>
                <w:b/>
              </w:rPr>
              <w:t>Förderungen</w:t>
            </w:r>
            <w:r w:rsidR="00B71F2A">
              <w:rPr>
                <w:b/>
              </w:rPr>
              <w:t>, die der Nachhaltigkeit entgegenwirken</w:t>
            </w:r>
            <w:r w:rsidR="00B71F2A" w:rsidRPr="0069005C">
              <w:rPr>
                <w:b/>
              </w:rPr>
              <w:t xml:space="preserve">: </w:t>
            </w:r>
          </w:p>
          <w:p w14:paraId="65BDD4E8" w14:textId="13A83F0E" w:rsidR="00B71F2A" w:rsidRDefault="00B71F2A" w:rsidP="00DB6217">
            <w:pPr>
              <w:pStyle w:val="KeinLeerraum"/>
              <w:jc w:val="both"/>
            </w:pPr>
            <w:r w:rsidRPr="00D92222">
              <w:t>Steuer- und Abgabensystem, das aufko</w:t>
            </w:r>
            <w:r>
              <w:t>mmensneutral fossile Energieträ</w:t>
            </w:r>
            <w:r w:rsidRPr="00D92222">
              <w:t>ger</w:t>
            </w:r>
            <w:r>
              <w:t xml:space="preserve"> stärker belastet, wä</w:t>
            </w:r>
            <w:r w:rsidRPr="00D92222">
              <w:t>hrend der Faktor Arbeit sowie Investitionen der Wirtschaft in energiesparende Technologien und erneuer</w:t>
            </w:r>
            <w:r>
              <w:t xml:space="preserve">bare Energien entlastet werden; Analyse und </w:t>
            </w:r>
            <w:r w:rsidR="00C41D98">
              <w:t xml:space="preserve">Beendigung </w:t>
            </w:r>
            <w:r>
              <w:t xml:space="preserve">von </w:t>
            </w:r>
            <w:r w:rsidR="00F70823">
              <w:t xml:space="preserve">jenen </w:t>
            </w:r>
            <w:r>
              <w:t>Fö</w:t>
            </w:r>
            <w:r w:rsidRPr="00D92222">
              <w:t>rderungen</w:t>
            </w:r>
            <w:r>
              <w:t>, die nicht zur Erreichung der Pariser Klimaziele beitragen</w:t>
            </w:r>
            <w:r w:rsidR="00C1132E">
              <w:t xml:space="preserve"> (</w:t>
            </w:r>
            <w:r w:rsidR="00C41D98">
              <w:t xml:space="preserve">z.B. </w:t>
            </w:r>
            <w:r w:rsidR="007E17BB">
              <w:t>Umstellung der</w:t>
            </w:r>
            <w:r w:rsidR="007E17BB" w:rsidRPr="007E17BB">
              <w:t xml:space="preserve"> Pendlerpauschale im Einklang mit dem forcierten Ausbau des öff</w:t>
            </w:r>
            <w:r w:rsidR="007E17BB">
              <w:t>entlichen Verkehrsangebots und der Raumordnungskonzepte</w:t>
            </w:r>
            <w:r w:rsidR="009C4491">
              <w:t>)</w:t>
            </w:r>
          </w:p>
          <w:p w14:paraId="5F34DA16" w14:textId="77777777" w:rsidR="007E17BB" w:rsidRDefault="007E17BB" w:rsidP="00DB6217">
            <w:pPr>
              <w:pStyle w:val="KeinLeerraum"/>
              <w:jc w:val="both"/>
            </w:pPr>
          </w:p>
          <w:p w14:paraId="6B2B91D4" w14:textId="5F560D88" w:rsidR="00F445F5" w:rsidRPr="003200DD" w:rsidRDefault="00F445F5" w:rsidP="00DB6217">
            <w:pPr>
              <w:pStyle w:val="KeinLeerraum"/>
              <w:jc w:val="both"/>
              <w:rPr>
                <w:b/>
              </w:rPr>
            </w:pPr>
            <w:r>
              <w:rPr>
                <w:b/>
              </w:rPr>
              <w:t xml:space="preserve">1.2.2 </w:t>
            </w:r>
            <w:r w:rsidRPr="00C27D24">
              <w:rPr>
                <w:b/>
              </w:rPr>
              <w:t xml:space="preserve">Vergabekriterien </w:t>
            </w:r>
            <w:r>
              <w:rPr>
                <w:b/>
              </w:rPr>
              <w:t xml:space="preserve">von Wohnbauförderungen an Mobilitätsaspekte knüpfen: </w:t>
            </w:r>
          </w:p>
          <w:p w14:paraId="4C34A2A0" w14:textId="391FA753" w:rsidR="00F445F5" w:rsidRDefault="00F445F5" w:rsidP="00DB6217">
            <w:pPr>
              <w:pStyle w:val="KeinLeerraum"/>
              <w:jc w:val="both"/>
            </w:pPr>
            <w:r w:rsidRPr="00C81AAE">
              <w:t>I</w:t>
            </w:r>
            <w:r>
              <w:t>ntegration des Mobilitätsaspektes in Wohnbaufö</w:t>
            </w:r>
            <w:r w:rsidRPr="00C81AAE">
              <w:t>rdersysteme</w:t>
            </w:r>
            <w:r>
              <w:t xml:space="preserve"> für Neubau und Sanierung; Standortbewertung durch Mindestkriterien für die Entfernung zum nä</w:t>
            </w:r>
            <w:r w:rsidRPr="00C81AAE">
              <w:t>chsten</w:t>
            </w:r>
            <w:r>
              <w:t xml:space="preserve"> Anschlusspunkt an den öffentlichen Verkehr bei gleichzeitigem Nachweis der Qualitätsstufe des öffentlichen Verkehrs </w:t>
            </w:r>
            <w:r w:rsidRPr="00C81AAE">
              <w:t xml:space="preserve"> </w:t>
            </w:r>
          </w:p>
          <w:p w14:paraId="391D2216" w14:textId="77777777" w:rsidR="00107A16" w:rsidRDefault="00107A16" w:rsidP="00DB6217">
            <w:pPr>
              <w:pStyle w:val="KeinLeerraum"/>
              <w:jc w:val="both"/>
              <w:rPr>
                <w:b/>
              </w:rPr>
            </w:pPr>
          </w:p>
          <w:p w14:paraId="4F419185" w14:textId="77777777" w:rsidR="001E59E4" w:rsidRDefault="001E59E4" w:rsidP="00DB6217">
            <w:pPr>
              <w:pStyle w:val="KeinLeerraum"/>
              <w:jc w:val="both"/>
              <w:rPr>
                <w:b/>
              </w:rPr>
            </w:pPr>
          </w:p>
          <w:p w14:paraId="3E9DAF89" w14:textId="7ACD4E2D" w:rsidR="00B71F2A" w:rsidRPr="00F01750" w:rsidRDefault="0006682E" w:rsidP="00DB6217">
            <w:pPr>
              <w:pStyle w:val="KeinLeerraum"/>
              <w:jc w:val="both"/>
              <w:rPr>
                <w:b/>
              </w:rPr>
            </w:pPr>
            <w:r>
              <w:rPr>
                <w:b/>
              </w:rPr>
              <w:t>1.</w:t>
            </w:r>
            <w:r w:rsidR="00F445F5">
              <w:rPr>
                <w:b/>
              </w:rPr>
              <w:t>2.3</w:t>
            </w:r>
            <w:r w:rsidR="00886653">
              <w:rPr>
                <w:b/>
              </w:rPr>
              <w:t xml:space="preserve"> </w:t>
            </w:r>
            <w:r w:rsidR="00B71F2A" w:rsidRPr="00F01750">
              <w:rPr>
                <w:b/>
              </w:rPr>
              <w:t>Revitalisierung von Ortskernen und Brachflächenrecycling</w:t>
            </w:r>
            <w:r w:rsidR="00B71F2A">
              <w:rPr>
                <w:b/>
              </w:rPr>
              <w:t>:</w:t>
            </w:r>
          </w:p>
          <w:p w14:paraId="3649CFE6" w14:textId="6B02D327" w:rsidR="007F2F23" w:rsidRDefault="00C1132E" w:rsidP="00DB6217">
            <w:pPr>
              <w:pStyle w:val="KeinLeerraum"/>
              <w:jc w:val="both"/>
            </w:pPr>
            <w:r>
              <w:t xml:space="preserve">Adaptierung, Nutzung und Umsetzung </w:t>
            </w:r>
            <w:r w:rsidR="00B71F2A" w:rsidRPr="002A7BC6">
              <w:t>von</w:t>
            </w:r>
            <w:r>
              <w:t xml:space="preserve"> bereits bestehenden und</w:t>
            </w:r>
            <w:r w:rsidR="00B71F2A" w:rsidRPr="002A7BC6">
              <w:t xml:space="preserve"> </w:t>
            </w:r>
            <w:r w:rsidRPr="002A7BC6">
              <w:t xml:space="preserve">Entwicklung </w:t>
            </w:r>
            <w:r>
              <w:t xml:space="preserve">von </w:t>
            </w:r>
            <w:r w:rsidR="00F70823">
              <w:t xml:space="preserve">neuen </w:t>
            </w:r>
            <w:r w:rsidR="00B71F2A" w:rsidRPr="002A7BC6">
              <w:t>Förderinstrumenten für die Revitalisierung von Flächen im Sie</w:t>
            </w:r>
            <w:r w:rsidR="00B71F2A">
              <w:t xml:space="preserve">dlungsbereich sowie Ortskernen, um die </w:t>
            </w:r>
            <w:r w:rsidR="00B71F2A" w:rsidRPr="002A7BC6">
              <w:t xml:space="preserve">Wiedernutzung </w:t>
            </w:r>
            <w:r w:rsidR="00B71F2A">
              <w:t>von Leerflächen und bereits bebauten und erschlossenen</w:t>
            </w:r>
            <w:r w:rsidR="00B71F2A" w:rsidRPr="002A7BC6">
              <w:t>, aber ni</w:t>
            </w:r>
            <w:r w:rsidR="00B71F2A">
              <w:t>cht mehr genutzten Industrieflä</w:t>
            </w:r>
            <w:r w:rsidR="00B71F2A" w:rsidRPr="002A7BC6">
              <w:t xml:space="preserve">chen </w:t>
            </w:r>
            <w:r w:rsidR="00B71F2A">
              <w:t>(Brachflä</w:t>
            </w:r>
            <w:r w:rsidR="00B71F2A" w:rsidRPr="002A7BC6">
              <w:t>chenrecycling)</w:t>
            </w:r>
            <w:r w:rsidR="00B71F2A">
              <w:t xml:space="preserve"> </w:t>
            </w:r>
            <w:r>
              <w:t xml:space="preserve">intensiv </w:t>
            </w:r>
            <w:r w:rsidR="00B71F2A">
              <w:t>zu forcieren</w:t>
            </w:r>
            <w:r w:rsidR="00F70823">
              <w:t>,</w:t>
            </w:r>
            <w:r w:rsidR="00B71F2A">
              <w:t xml:space="preserve"> </w:t>
            </w:r>
            <w:r w:rsidR="00F70823">
              <w:t>um</w:t>
            </w:r>
            <w:r w:rsidR="00B71F2A">
              <w:t xml:space="preserve"> die Umwidmung von Grünland zur Baulandnutzung zu </w:t>
            </w:r>
            <w:r>
              <w:t>verhindern</w:t>
            </w:r>
          </w:p>
          <w:p w14:paraId="0429A833" w14:textId="77777777" w:rsidR="00F445F5" w:rsidRPr="00D96B9C" w:rsidRDefault="00F445F5" w:rsidP="00DB6217">
            <w:pPr>
              <w:pStyle w:val="KeinLeerraum"/>
              <w:jc w:val="both"/>
            </w:pPr>
          </w:p>
          <w:p w14:paraId="4CA21D82" w14:textId="0F1C4FF8" w:rsidR="00B71F2A" w:rsidRPr="00C27D24" w:rsidRDefault="0006682E" w:rsidP="00DB6217">
            <w:pPr>
              <w:pStyle w:val="KeinLeerraum"/>
              <w:jc w:val="both"/>
              <w:rPr>
                <w:b/>
              </w:rPr>
            </w:pPr>
            <w:r>
              <w:rPr>
                <w:b/>
              </w:rPr>
              <w:t>1.</w:t>
            </w:r>
            <w:r w:rsidR="00F445F5">
              <w:rPr>
                <w:b/>
              </w:rPr>
              <w:t>2.4</w:t>
            </w:r>
            <w:r w:rsidR="00886653">
              <w:rPr>
                <w:b/>
              </w:rPr>
              <w:t xml:space="preserve"> </w:t>
            </w:r>
            <w:r w:rsidR="00B71F2A" w:rsidRPr="00C27D24">
              <w:rPr>
                <w:b/>
              </w:rPr>
              <w:t xml:space="preserve">Vergabekriterien bei </w:t>
            </w:r>
            <w:r w:rsidR="00B71F2A">
              <w:rPr>
                <w:b/>
              </w:rPr>
              <w:t xml:space="preserve">städtebaulichen </w:t>
            </w:r>
            <w:r w:rsidR="00B71F2A" w:rsidRPr="00C27D24">
              <w:rPr>
                <w:b/>
              </w:rPr>
              <w:t xml:space="preserve">Ausschreibungen um </w:t>
            </w:r>
            <w:r w:rsidR="00B71F2A">
              <w:rPr>
                <w:b/>
              </w:rPr>
              <w:t>Entwicklungsfähigkeit</w:t>
            </w:r>
            <w:r w:rsidR="00B71F2A" w:rsidRPr="00C27D24">
              <w:rPr>
                <w:b/>
              </w:rPr>
              <w:t xml:space="preserve"> erweitern: </w:t>
            </w:r>
          </w:p>
          <w:p w14:paraId="328CEDF6" w14:textId="664D1557" w:rsidR="007F1B05" w:rsidRDefault="00B71F2A" w:rsidP="00DB6217">
            <w:pPr>
              <w:pStyle w:val="KeinLeerraum"/>
              <w:jc w:val="both"/>
            </w:pPr>
            <w:r>
              <w:t xml:space="preserve">Erweiterung der </w:t>
            </w:r>
            <w:r w:rsidRPr="00C27D24">
              <w:t>Vergabe</w:t>
            </w:r>
            <w:r>
              <w:t>n</w:t>
            </w:r>
            <w:r w:rsidRPr="00C27D24">
              <w:t xml:space="preserve"> von </w:t>
            </w:r>
            <w:r>
              <w:t xml:space="preserve">städtebaulichen </w:t>
            </w:r>
            <w:r w:rsidRPr="00C27D24">
              <w:t xml:space="preserve">Bauaufgaben </w:t>
            </w:r>
            <w:r>
              <w:t>um Aspekte der Nutzungsmischung, Flexibilität und Resilienz; Darstellung von entwicklungsfähigen Strukturen, die eine nachhaltige Nutzung unter veränderte</w:t>
            </w:r>
            <w:r w:rsidR="007F2F23">
              <w:t>n Rahmenbedingungen ermöglichen; Förderung</w:t>
            </w:r>
            <w:r w:rsidR="007F2F23" w:rsidRPr="00DF3DBA">
              <w:t xml:space="preserve"> der Ausschreibung transparenter städtebaulicher Vergabeverfahren zur Erlangung städtebaulicher Entwürfe, </w:t>
            </w:r>
            <w:r w:rsidR="007F2F23">
              <w:t xml:space="preserve">welche </w:t>
            </w:r>
            <w:r w:rsidR="007F2F23" w:rsidRPr="00DF3DBA">
              <w:t>die funktionalen, klimatischen, energietechnis</w:t>
            </w:r>
            <w:r w:rsidR="007F2F23">
              <w:t>chen und gestalterischen Zusamm</w:t>
            </w:r>
            <w:r w:rsidR="007F2F23" w:rsidRPr="00DF3DBA">
              <w:t>e</w:t>
            </w:r>
            <w:r w:rsidR="007F2F23">
              <w:t>n</w:t>
            </w:r>
            <w:r w:rsidR="007F2F23" w:rsidRPr="00DF3DBA">
              <w:t>hänge vor den Objektentwürfen durcharbeiten</w:t>
            </w:r>
          </w:p>
          <w:p w14:paraId="45E7B944" w14:textId="77777777" w:rsidR="002D1CBF" w:rsidRDefault="002D1CBF" w:rsidP="006F0C49">
            <w:pPr>
              <w:rPr>
                <w:rFonts w:ascii="Lucida Grande" w:hAnsi="Lucida Grande" w:cs="Lucida Grande"/>
                <w:sz w:val="18"/>
                <w:szCs w:val="18"/>
              </w:rPr>
            </w:pPr>
          </w:p>
        </w:tc>
      </w:tr>
      <w:tr w:rsidR="00B71F2A" w14:paraId="7514DD3F" w14:textId="77777777" w:rsidTr="00B65FA6">
        <w:trPr>
          <w:trHeight w:val="507"/>
        </w:trPr>
        <w:tc>
          <w:tcPr>
            <w:tcW w:w="9212" w:type="dxa"/>
            <w:shd w:val="clear" w:color="auto" w:fill="57973A"/>
          </w:tcPr>
          <w:p w14:paraId="53430C6B" w14:textId="4E4035DE" w:rsidR="00E535E2" w:rsidRPr="00B65FA6" w:rsidRDefault="00E535E2" w:rsidP="00E535E2">
            <w:pPr>
              <w:rPr>
                <w:b/>
                <w:color w:val="FFFFFF" w:themeColor="background1"/>
              </w:rPr>
            </w:pPr>
            <w:r w:rsidRPr="00B65FA6">
              <w:rPr>
                <w:b/>
                <w:color w:val="FFFFFF" w:themeColor="background1"/>
              </w:rPr>
              <w:t>3</w:t>
            </w:r>
          </w:p>
          <w:p w14:paraId="570850E9" w14:textId="5F2D770F" w:rsidR="00B71F2A" w:rsidRPr="00B249E4" w:rsidRDefault="00B71F2A" w:rsidP="00E535E2">
            <w:r>
              <w:rPr>
                <w:color w:val="FFFFFF" w:themeColor="background1"/>
              </w:rPr>
              <w:t>BEGLEITMASSNAHMEN</w:t>
            </w:r>
          </w:p>
        </w:tc>
      </w:tr>
      <w:tr w:rsidR="00B71F2A" w14:paraId="0DE14F6F" w14:textId="77777777" w:rsidTr="00E535E2">
        <w:tc>
          <w:tcPr>
            <w:tcW w:w="9212" w:type="dxa"/>
          </w:tcPr>
          <w:p w14:paraId="3C78BB97" w14:textId="77777777" w:rsidR="00B71F2A" w:rsidRDefault="00B71F2A" w:rsidP="00A325E6">
            <w:pPr>
              <w:pStyle w:val="KeinLeerraum"/>
            </w:pPr>
          </w:p>
          <w:p w14:paraId="7EC15383" w14:textId="5548EFDD" w:rsidR="00B71F2A" w:rsidRDefault="0006682E" w:rsidP="00DB6217">
            <w:pPr>
              <w:pStyle w:val="KeinLeerraum"/>
              <w:jc w:val="both"/>
              <w:rPr>
                <w:b/>
              </w:rPr>
            </w:pPr>
            <w:r>
              <w:rPr>
                <w:b/>
              </w:rPr>
              <w:t>1.</w:t>
            </w:r>
            <w:r w:rsidR="00886653">
              <w:rPr>
                <w:b/>
              </w:rPr>
              <w:t xml:space="preserve">3.1 </w:t>
            </w:r>
            <w:r w:rsidR="00B71F2A">
              <w:rPr>
                <w:b/>
              </w:rPr>
              <w:t xml:space="preserve">Überregionale, strukturierte Leerstandserfassung: </w:t>
            </w:r>
          </w:p>
          <w:p w14:paraId="59ADC99D" w14:textId="6075ED62" w:rsidR="00B71F2A" w:rsidRDefault="00B71F2A" w:rsidP="00DB6217">
            <w:pPr>
              <w:pStyle w:val="KeinLeerraum"/>
              <w:jc w:val="both"/>
            </w:pPr>
            <w:r w:rsidRPr="00A852A9">
              <w:t>Strukturierte überregionale Leerstand</w:t>
            </w:r>
            <w:r w:rsidR="00530E11">
              <w:t>s</w:t>
            </w:r>
            <w:r w:rsidRPr="00A852A9">
              <w:t>erfassung in einer österreichweiten GIS-Datenbank,</w:t>
            </w:r>
            <w:r w:rsidR="00A31E0C">
              <w:t xml:space="preserve"> (Transparenzdaten</w:t>
            </w:r>
            <w:r w:rsidR="007F1B05">
              <w:t>bank</w:t>
            </w:r>
            <w:r w:rsidR="00A31E0C">
              <w:t>),</w:t>
            </w:r>
            <w:r w:rsidRPr="00A852A9">
              <w:t xml:space="preserve"> die öffentl</w:t>
            </w:r>
            <w:r>
              <w:t xml:space="preserve">ich zur Verfügung gestellt wird (Erfassung von Siedlungstyp, Bautyp, Baualter, Sanierung, Verkehrsinfrastruktur, Energieausweis-Daten </w:t>
            </w:r>
            <w:r w:rsidR="00A31E0C">
              <w:t xml:space="preserve">wie die Zeus-Datenbank </w:t>
            </w:r>
            <w:r>
              <w:t>etc.)</w:t>
            </w:r>
          </w:p>
          <w:p w14:paraId="7B1C8424" w14:textId="77777777" w:rsidR="00B71F2A" w:rsidRDefault="00B71F2A" w:rsidP="00DB6217">
            <w:pPr>
              <w:pStyle w:val="KeinLeerraum"/>
              <w:jc w:val="both"/>
            </w:pPr>
          </w:p>
          <w:p w14:paraId="10065FCD" w14:textId="6A26D5E9" w:rsidR="00B71F2A" w:rsidRPr="00A5204F" w:rsidRDefault="0006682E" w:rsidP="00DB6217">
            <w:pPr>
              <w:pStyle w:val="KeinLeerraum"/>
              <w:jc w:val="both"/>
              <w:rPr>
                <w:b/>
              </w:rPr>
            </w:pPr>
            <w:r>
              <w:rPr>
                <w:b/>
              </w:rPr>
              <w:t>1.</w:t>
            </w:r>
            <w:r w:rsidR="00886653">
              <w:rPr>
                <w:b/>
              </w:rPr>
              <w:t xml:space="preserve">3.2 </w:t>
            </w:r>
            <w:r w:rsidR="00B71F2A" w:rsidRPr="00A5204F">
              <w:rPr>
                <w:b/>
              </w:rPr>
              <w:t xml:space="preserve">Entwicklung von technologieunabhängigen dezentralen Netzstrategien für urbane Räume: </w:t>
            </w:r>
          </w:p>
          <w:p w14:paraId="5F9605BA" w14:textId="77777777" w:rsidR="00B71F2A" w:rsidRDefault="00B71F2A" w:rsidP="00DB6217">
            <w:pPr>
              <w:pStyle w:val="KeinLeerraum"/>
              <w:jc w:val="both"/>
            </w:pPr>
            <w:r>
              <w:t>Analyse von dezentralen Energieproduktions- und Einspeisepotentialen von Wohn- und Nicht-Wohngebäuden für urbane Energienetze (Wärmenetze, Kältenetze, Gas, Elektrizität sowie Anergienetze im Niedertemperaturbereich)</w:t>
            </w:r>
          </w:p>
          <w:p w14:paraId="19668AA3" w14:textId="77777777" w:rsidR="00B71F2A" w:rsidRDefault="00B71F2A" w:rsidP="00E535E2"/>
        </w:tc>
      </w:tr>
    </w:tbl>
    <w:p w14:paraId="35F0347B" w14:textId="77777777" w:rsidR="00D96B9C" w:rsidRDefault="00D96B9C" w:rsidP="00D96B9C">
      <w:pPr>
        <w:rPr>
          <w:sz w:val="18"/>
          <w:szCs w:val="18"/>
        </w:rPr>
      </w:pPr>
    </w:p>
    <w:p w14:paraId="71F99867" w14:textId="36389874" w:rsidR="009E508D" w:rsidRDefault="009E508D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464B155F" w14:textId="77054DCD" w:rsidR="006000E5" w:rsidRDefault="00886653">
      <w:r>
        <w:rPr>
          <w:sz w:val="32"/>
          <w:szCs w:val="32"/>
        </w:rPr>
        <w:t xml:space="preserve">2 </w:t>
      </w:r>
      <w:r w:rsidR="006000E5" w:rsidRPr="0070311C">
        <w:rPr>
          <w:sz w:val="32"/>
          <w:szCs w:val="32"/>
        </w:rPr>
        <w:t xml:space="preserve">EFFIZIENZ, </w:t>
      </w:r>
      <w:r w:rsidR="00D56518">
        <w:rPr>
          <w:sz w:val="32"/>
          <w:szCs w:val="32"/>
        </w:rPr>
        <w:t>SANIERUNG</w:t>
      </w:r>
      <w:r w:rsidR="00D56518" w:rsidRPr="0070311C">
        <w:rPr>
          <w:sz w:val="32"/>
          <w:szCs w:val="32"/>
        </w:rPr>
        <w:t xml:space="preserve"> </w:t>
      </w:r>
      <w:r w:rsidR="00D56518">
        <w:rPr>
          <w:sz w:val="32"/>
          <w:szCs w:val="32"/>
        </w:rPr>
        <w:t xml:space="preserve">UND NUTZUNGSOFFENHEIT </w:t>
      </w: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F50F21" w14:paraId="25C02F44" w14:textId="77777777" w:rsidTr="00F50F21">
        <w:tc>
          <w:tcPr>
            <w:tcW w:w="9212" w:type="dxa"/>
            <w:shd w:val="clear" w:color="auto" w:fill="638EA4"/>
          </w:tcPr>
          <w:p w14:paraId="743D44CB" w14:textId="55BAB12B" w:rsidR="00F50F21" w:rsidRPr="00B65FA6" w:rsidRDefault="00886653" w:rsidP="00F50F2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</w:t>
            </w:r>
          </w:p>
          <w:p w14:paraId="6D851694" w14:textId="23DFAECB" w:rsidR="00F50F21" w:rsidRDefault="00655957" w:rsidP="00F50F21">
            <w:r>
              <w:rPr>
                <w:color w:val="FFFFFF" w:themeColor="background1"/>
              </w:rPr>
              <w:t>REGULATIVE MASSNAHMEN</w:t>
            </w:r>
          </w:p>
        </w:tc>
      </w:tr>
      <w:tr w:rsidR="000D7626" w14:paraId="5A74FB7B" w14:textId="77777777" w:rsidTr="00F50F21">
        <w:tc>
          <w:tcPr>
            <w:tcW w:w="9212" w:type="dxa"/>
            <w:tcBorders>
              <w:bottom w:val="single" w:sz="4" w:space="0" w:color="BFBFBF" w:themeColor="background1" w:themeShade="BF"/>
            </w:tcBorders>
          </w:tcPr>
          <w:p w14:paraId="6AAF91DB" w14:textId="09DA7B78" w:rsidR="000D7626" w:rsidRDefault="000D7626" w:rsidP="00A325E6">
            <w:pPr>
              <w:pStyle w:val="KeinLeerraum"/>
            </w:pPr>
          </w:p>
          <w:p w14:paraId="6C7B8115" w14:textId="6EE949AC" w:rsidR="000D7626" w:rsidRPr="00E17264" w:rsidRDefault="0006682E" w:rsidP="00DB6217">
            <w:pPr>
              <w:pStyle w:val="KeinLeerraum"/>
              <w:jc w:val="both"/>
              <w:rPr>
                <w:b/>
              </w:rPr>
            </w:pPr>
            <w:r>
              <w:rPr>
                <w:b/>
              </w:rPr>
              <w:t>2.</w:t>
            </w:r>
            <w:r w:rsidR="00886653">
              <w:rPr>
                <w:b/>
              </w:rPr>
              <w:t xml:space="preserve">1.1 </w:t>
            </w:r>
            <w:r w:rsidR="000D7626" w:rsidRPr="00E17264">
              <w:rPr>
                <w:b/>
              </w:rPr>
              <w:t>Adaptierung des Mietrechtsgesetzes (MRG) zur Anhebung der Sanierung</w:t>
            </w:r>
            <w:r w:rsidR="000D7626">
              <w:rPr>
                <w:b/>
              </w:rPr>
              <w:t>srate</w:t>
            </w:r>
            <w:r w:rsidR="000D7626" w:rsidRPr="00E17264">
              <w:rPr>
                <w:b/>
              </w:rPr>
              <w:t xml:space="preserve">: </w:t>
            </w:r>
          </w:p>
          <w:p w14:paraId="5913EC80" w14:textId="2C59E366" w:rsidR="000D7626" w:rsidRDefault="000D7626" w:rsidP="00DB6217">
            <w:pPr>
              <w:pStyle w:val="KeinLeerraum"/>
              <w:jc w:val="both"/>
            </w:pPr>
            <w:r w:rsidRPr="00E17264">
              <w:t>Wohnun</w:t>
            </w:r>
            <w:r>
              <w:t>gen im V</w:t>
            </w:r>
            <w:r w:rsidRPr="00E17264">
              <w:t>ollanwendungsbereich des MRG</w:t>
            </w:r>
            <w:r>
              <w:t xml:space="preserve"> </w:t>
            </w:r>
            <w:r w:rsidR="00DA03DC">
              <w:t xml:space="preserve">sollen </w:t>
            </w:r>
            <w:r>
              <w:t>b</w:t>
            </w:r>
            <w:r w:rsidRPr="00E17264">
              <w:t xml:space="preserve">ei Durchführung </w:t>
            </w:r>
            <w:r>
              <w:t xml:space="preserve">von umfassenden thermischen Sanierungen (Gesamtenergieeffizienz </w:t>
            </w:r>
            <w:r w:rsidR="007315DD">
              <w:t>min. 75% des jeweils möglichen Maximums</w:t>
            </w:r>
            <w:r>
              <w:t xml:space="preserve">) </w:t>
            </w:r>
            <w:r w:rsidRPr="00E17264">
              <w:t>bei Neuvermietung nicht meh</w:t>
            </w:r>
            <w:r>
              <w:t>r dem Mietzinsregime des Richtwertgesetzes</w:t>
            </w:r>
            <w:r w:rsidR="00DA03DC">
              <w:t xml:space="preserve"> unterliegen</w:t>
            </w:r>
            <w:r>
              <w:t>, um die Energieeffizienz bei Bestandsbauten zu erhöhen</w:t>
            </w:r>
          </w:p>
          <w:p w14:paraId="6C64DDAA" w14:textId="77777777" w:rsidR="000D7626" w:rsidRDefault="000D7626" w:rsidP="00DB6217">
            <w:pPr>
              <w:pStyle w:val="KeinLeerraum"/>
              <w:jc w:val="both"/>
            </w:pPr>
          </w:p>
          <w:p w14:paraId="7498A390" w14:textId="06BC3942" w:rsidR="000D7626" w:rsidRPr="00A77131" w:rsidRDefault="0006682E" w:rsidP="00DB6217">
            <w:pPr>
              <w:pStyle w:val="KeinLeerraum"/>
              <w:jc w:val="both"/>
              <w:rPr>
                <w:b/>
              </w:rPr>
            </w:pPr>
            <w:r>
              <w:rPr>
                <w:b/>
              </w:rPr>
              <w:t>2.</w:t>
            </w:r>
            <w:r w:rsidR="007315DD">
              <w:rPr>
                <w:b/>
              </w:rPr>
              <w:t xml:space="preserve">1.2 </w:t>
            </w:r>
            <w:r w:rsidR="000D7626" w:rsidRPr="00A77131">
              <w:rPr>
                <w:b/>
              </w:rPr>
              <w:t>Adaptierung des Wohnung</w:t>
            </w:r>
            <w:r w:rsidR="000D7626">
              <w:rPr>
                <w:b/>
              </w:rPr>
              <w:t>seigentumsgesetzes:</w:t>
            </w:r>
          </w:p>
          <w:p w14:paraId="7F539F51" w14:textId="62D5EBFF" w:rsidR="00F445F5" w:rsidRDefault="000D7626" w:rsidP="00DB6217">
            <w:pPr>
              <w:pStyle w:val="KeinLeerraum"/>
              <w:jc w:val="both"/>
            </w:pPr>
            <w:r w:rsidRPr="00A77131">
              <w:t>Flexibilisierung der Wil</w:t>
            </w:r>
            <w:r>
              <w:t>lensbildung im Wohnungseigentum; Beschluss von Sanierungsvorhaben bei einer</w:t>
            </w:r>
            <w:r w:rsidRPr="00A77131">
              <w:t xml:space="preserve"> qualifizi</w:t>
            </w:r>
            <w:r>
              <w:t>erte</w:t>
            </w:r>
            <w:r w:rsidR="00FC275E">
              <w:t>n</w:t>
            </w:r>
            <w:r>
              <w:t xml:space="preserve"> Mehrheit der Abstimmenden; </w:t>
            </w:r>
            <w:r w:rsidRPr="00A77131">
              <w:t>Zu</w:t>
            </w:r>
            <w:r>
              <w:t>stimmungspflicht der Miteigentü</w:t>
            </w:r>
            <w:r w:rsidRPr="00A77131">
              <w:t>mer</w:t>
            </w:r>
            <w:r w:rsidR="00DA03DC">
              <w:t>Innen</w:t>
            </w:r>
            <w:r w:rsidRPr="00A77131">
              <w:t>, sofern die Finanzierung de</w:t>
            </w:r>
            <w:r>
              <w:t>r Maßnahmen aus angemessenen Rü</w:t>
            </w:r>
            <w:r w:rsidRPr="00A77131">
              <w:t>c</w:t>
            </w:r>
            <w:r>
              <w:t>klagen und zu erwartenden Ener</w:t>
            </w:r>
            <w:r w:rsidRPr="00A77131">
              <w:t>giekosteneinsparun</w:t>
            </w:r>
            <w:r>
              <w:t>gen (Contracting) gesichert ist</w:t>
            </w:r>
          </w:p>
          <w:p w14:paraId="49CE48D1" w14:textId="77777777" w:rsidR="00D73DDA" w:rsidRDefault="00D73DDA" w:rsidP="00DB6217">
            <w:pPr>
              <w:pStyle w:val="KeinLeerraum"/>
              <w:jc w:val="both"/>
              <w:rPr>
                <w:b/>
              </w:rPr>
            </w:pPr>
          </w:p>
          <w:p w14:paraId="4856D551" w14:textId="17B7A23C" w:rsidR="000D7626" w:rsidRPr="00910694" w:rsidRDefault="0006682E" w:rsidP="00DB6217">
            <w:pPr>
              <w:pStyle w:val="KeinLeerraum"/>
              <w:jc w:val="both"/>
              <w:rPr>
                <w:b/>
              </w:rPr>
            </w:pPr>
            <w:r>
              <w:rPr>
                <w:b/>
              </w:rPr>
              <w:t>2.</w:t>
            </w:r>
            <w:r w:rsidR="007315DD" w:rsidRPr="007315DD">
              <w:rPr>
                <w:b/>
              </w:rPr>
              <w:t>1.3</w:t>
            </w:r>
            <w:r w:rsidR="007315DD">
              <w:t xml:space="preserve"> </w:t>
            </w:r>
            <w:r w:rsidR="000D7626" w:rsidRPr="00910694">
              <w:rPr>
                <w:b/>
              </w:rPr>
              <w:t xml:space="preserve">Umlegung von Sanierungskosten auf den Hauptmietzins </w:t>
            </w:r>
            <w:r w:rsidR="000D7626">
              <w:rPr>
                <w:b/>
              </w:rPr>
              <w:t>und Duldungspflichten der Mieter</w:t>
            </w:r>
            <w:r w:rsidR="007A5DD9">
              <w:rPr>
                <w:b/>
              </w:rPr>
              <w:t>Innen</w:t>
            </w:r>
            <w:r w:rsidR="000D7626">
              <w:rPr>
                <w:b/>
              </w:rPr>
              <w:t xml:space="preserve"> bei Sanierungsmaßnahmen erhöhen</w:t>
            </w:r>
            <w:r w:rsidR="00070881">
              <w:rPr>
                <w:b/>
              </w:rPr>
              <w:t>:</w:t>
            </w:r>
          </w:p>
          <w:p w14:paraId="46425DF7" w14:textId="7B2E675E" w:rsidR="000D7626" w:rsidRPr="003C3E5D" w:rsidRDefault="000D7626" w:rsidP="00DB6217">
            <w:pPr>
              <w:pStyle w:val="KeinLeerraum"/>
              <w:jc w:val="both"/>
              <w:rPr>
                <w:b/>
              </w:rPr>
            </w:pPr>
            <w:r w:rsidRPr="00910694">
              <w:t xml:space="preserve">Modernisierungsmaßnahmen im Mietrechtsgesetz um nachhaltige Sanierungsmaßnahmen </w:t>
            </w:r>
            <w:r w:rsidRPr="003C3E5D">
              <w:t>erweitern; Maßnahmen, die den Gebrauchswert der Mietsache nachhaltig erhöhen, die allgemeinen Wohnverhältnisse auf Dauer verbessern oder nachhaltig Einsparungen von Energie oder Wasser bewirken</w:t>
            </w:r>
            <w:r>
              <w:t>,</w:t>
            </w:r>
            <w:r w:rsidRPr="003C3E5D">
              <w:t xml:space="preserve"> </w:t>
            </w:r>
            <w:r w:rsidR="00DA03DC">
              <w:t>sollen</w:t>
            </w:r>
            <w:r w:rsidRPr="003C3E5D">
              <w:t xml:space="preserve"> eine Erhöhung des Hauptmietzins</w:t>
            </w:r>
            <w:r w:rsidR="00F56F92">
              <w:t>es</w:t>
            </w:r>
            <w:r w:rsidR="00DA03DC">
              <w:t xml:space="preserve"> </w:t>
            </w:r>
            <w:r w:rsidR="00DA03DC" w:rsidRPr="003C3E5D">
              <w:t>ermöglichen</w:t>
            </w:r>
            <w:r w:rsidR="00DA03DC">
              <w:t xml:space="preserve">; </w:t>
            </w:r>
            <w:r w:rsidR="007A5DD9">
              <w:t xml:space="preserve">Erhöhung der </w:t>
            </w:r>
            <w:r w:rsidRPr="003C3E5D">
              <w:t>Duldungspflicht der Mieter</w:t>
            </w:r>
            <w:r w:rsidR="007A5DD9">
              <w:t>Innen</w:t>
            </w:r>
            <w:r w:rsidRPr="003C3E5D">
              <w:t xml:space="preserve"> bei umfassenden Sanierungsmaßnahmen</w:t>
            </w:r>
          </w:p>
          <w:p w14:paraId="06C19324" w14:textId="77777777" w:rsidR="007F2F23" w:rsidRDefault="007F2F23" w:rsidP="00DB6217">
            <w:pPr>
              <w:pStyle w:val="KeinLeerraum"/>
              <w:jc w:val="both"/>
              <w:rPr>
                <w:b/>
              </w:rPr>
            </w:pPr>
          </w:p>
          <w:p w14:paraId="0C88F047" w14:textId="143608D5" w:rsidR="000D7626" w:rsidRPr="00071BAB" w:rsidRDefault="0006682E" w:rsidP="00DB6217">
            <w:pPr>
              <w:pStyle w:val="KeinLeerraum"/>
              <w:jc w:val="both"/>
              <w:rPr>
                <w:b/>
              </w:rPr>
            </w:pPr>
            <w:r>
              <w:rPr>
                <w:b/>
              </w:rPr>
              <w:t>2.</w:t>
            </w:r>
            <w:r w:rsidR="007315DD">
              <w:rPr>
                <w:b/>
              </w:rPr>
              <w:t xml:space="preserve">1.4 </w:t>
            </w:r>
            <w:r w:rsidR="005127C1">
              <w:rPr>
                <w:b/>
              </w:rPr>
              <w:t>Entkoppelung</w:t>
            </w:r>
            <w:r w:rsidR="005127C1" w:rsidRPr="00071BAB">
              <w:rPr>
                <w:b/>
              </w:rPr>
              <w:t xml:space="preserve"> </w:t>
            </w:r>
            <w:r w:rsidR="000D7626" w:rsidRPr="00071BAB">
              <w:rPr>
                <w:b/>
              </w:rPr>
              <w:t>der Stellplatzverpflichtung</w:t>
            </w:r>
            <w:r w:rsidR="005127C1">
              <w:rPr>
                <w:b/>
              </w:rPr>
              <w:t xml:space="preserve"> vom Wohnbau</w:t>
            </w:r>
            <w:r w:rsidR="000D7626">
              <w:rPr>
                <w:b/>
              </w:rPr>
              <w:t xml:space="preserve">: </w:t>
            </w:r>
          </w:p>
          <w:p w14:paraId="540A7A48" w14:textId="3E407B5B" w:rsidR="00024B83" w:rsidRPr="00F445F5" w:rsidRDefault="005127C1" w:rsidP="00DB6217">
            <w:pPr>
              <w:pStyle w:val="KeinLeerraum"/>
              <w:jc w:val="both"/>
            </w:pPr>
            <w:r>
              <w:t>Entkoppelung der Stellplatzverpflichtung vom Wohnbau</w:t>
            </w:r>
            <w:r w:rsidR="000D7626" w:rsidRPr="007A15E2">
              <w:t>;</w:t>
            </w:r>
            <w:r>
              <w:t xml:space="preserve"> Koppelung des Stellplatznachweises an den Besitz eines PKWs,</w:t>
            </w:r>
            <w:r w:rsidR="000D7626" w:rsidRPr="007A15E2">
              <w:t xml:space="preserve"> </w:t>
            </w:r>
            <w:r w:rsidR="000D7626">
              <w:t>Kopp</w:t>
            </w:r>
            <w:r w:rsidR="00F56F92">
              <w:t>e</w:t>
            </w:r>
            <w:r w:rsidR="000D7626">
              <w:t xml:space="preserve">lung </w:t>
            </w:r>
            <w:r w:rsidR="002D61A1">
              <w:t xml:space="preserve">der </w:t>
            </w:r>
            <w:r w:rsidR="000D7626">
              <w:t xml:space="preserve">Förderung des </w:t>
            </w:r>
            <w:r w:rsidR="000D7626" w:rsidRPr="007A15E2">
              <w:t>großvolumige</w:t>
            </w:r>
            <w:r w:rsidR="000D7626">
              <w:t>n</w:t>
            </w:r>
            <w:r w:rsidR="000D7626" w:rsidRPr="007A15E2">
              <w:t xml:space="preserve"> Wohnbau</w:t>
            </w:r>
            <w:r w:rsidR="000D7626">
              <w:t>s</w:t>
            </w:r>
            <w:r w:rsidR="000D7626" w:rsidRPr="007A15E2">
              <w:t xml:space="preserve"> an eine ausreichende öffentliche Verkehrsanbindung</w:t>
            </w:r>
          </w:p>
          <w:p w14:paraId="252D6B2A" w14:textId="45EB307A" w:rsidR="002D1CBF" w:rsidRDefault="002D1CBF" w:rsidP="006F0C49">
            <w:pPr>
              <w:rPr>
                <w:rFonts w:ascii="Lucida Grande" w:hAnsi="Lucida Grande" w:cs="Lucida Grande"/>
                <w:sz w:val="18"/>
                <w:szCs w:val="18"/>
              </w:rPr>
            </w:pPr>
          </w:p>
        </w:tc>
      </w:tr>
      <w:tr w:rsidR="000D7626" w14:paraId="521231FF" w14:textId="77777777" w:rsidTr="00F50F21">
        <w:tc>
          <w:tcPr>
            <w:tcW w:w="9212" w:type="dxa"/>
            <w:shd w:val="clear" w:color="auto" w:fill="638EA4"/>
          </w:tcPr>
          <w:p w14:paraId="1CF3B382" w14:textId="01B2B679" w:rsidR="00E535E2" w:rsidRPr="00B65FA6" w:rsidRDefault="00886653" w:rsidP="00E535E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</w:t>
            </w:r>
          </w:p>
          <w:p w14:paraId="51AF6DC0" w14:textId="238B6ADA" w:rsidR="000D7626" w:rsidRDefault="000D7626" w:rsidP="00E535E2">
            <w:r>
              <w:rPr>
                <w:color w:val="FFFFFF" w:themeColor="background1"/>
              </w:rPr>
              <w:t>ANREIZSYSTEME</w:t>
            </w:r>
          </w:p>
        </w:tc>
      </w:tr>
      <w:tr w:rsidR="008C320A" w14:paraId="11C779D5" w14:textId="77777777" w:rsidTr="008C320A">
        <w:tc>
          <w:tcPr>
            <w:tcW w:w="9212" w:type="dxa"/>
            <w:tcBorders>
              <w:bottom w:val="single" w:sz="4" w:space="0" w:color="BFBFBF" w:themeColor="background1" w:themeShade="BF"/>
            </w:tcBorders>
          </w:tcPr>
          <w:p w14:paraId="3EF0288C" w14:textId="77777777" w:rsidR="008C320A" w:rsidRDefault="008C320A" w:rsidP="008C320A">
            <w:pPr>
              <w:pStyle w:val="KeinLeerraum"/>
            </w:pPr>
          </w:p>
          <w:p w14:paraId="1E506B03" w14:textId="77777777" w:rsidR="008C320A" w:rsidRDefault="008C320A" w:rsidP="008C320A">
            <w:pPr>
              <w:pStyle w:val="KeinLeerraum"/>
              <w:jc w:val="both"/>
              <w:rPr>
                <w:b/>
              </w:rPr>
            </w:pPr>
            <w:r>
              <w:rPr>
                <w:b/>
              </w:rPr>
              <w:t xml:space="preserve">2.2.1 </w:t>
            </w:r>
            <w:r w:rsidRPr="000A0981">
              <w:rPr>
                <w:b/>
              </w:rPr>
              <w:t xml:space="preserve">Steuerliche Anreizsysteme </w:t>
            </w:r>
            <w:r>
              <w:rPr>
                <w:b/>
              </w:rPr>
              <w:t xml:space="preserve">sowie Finanzierungsinstrumente </w:t>
            </w:r>
            <w:r w:rsidRPr="000A0981">
              <w:rPr>
                <w:b/>
              </w:rPr>
              <w:t>bei Sanierungen für Bauträger</w:t>
            </w:r>
            <w:r>
              <w:rPr>
                <w:b/>
              </w:rPr>
              <w:t xml:space="preserve"> und Privatpersonen</w:t>
            </w:r>
            <w:r w:rsidRPr="000A0981">
              <w:rPr>
                <w:b/>
              </w:rPr>
              <w:t xml:space="preserve">:  </w:t>
            </w:r>
          </w:p>
          <w:p w14:paraId="0E261800" w14:textId="77777777" w:rsidR="008C320A" w:rsidRDefault="008C320A" w:rsidP="008C320A">
            <w:pPr>
              <w:pStyle w:val="KeinLeerraum"/>
              <w:jc w:val="both"/>
            </w:pPr>
            <w:r w:rsidRPr="008A4F28">
              <w:t xml:space="preserve">Zwingende </w:t>
            </w:r>
            <w:r>
              <w:t>Bildung oder Nachweis</w:t>
            </w:r>
            <w:r w:rsidRPr="008A4F28">
              <w:t xml:space="preserve"> von Rücklagen für Sanierungen</w:t>
            </w:r>
            <w:r>
              <w:t xml:space="preserve"> (lebenszyklische Werthaltung für ausnahmslos alle Gebäude)</w:t>
            </w:r>
            <w:r w:rsidRPr="008A4F28">
              <w:t>;</w:t>
            </w:r>
            <w:r>
              <w:t xml:space="preserve"> S</w:t>
            </w:r>
            <w:r w:rsidRPr="008A4F28">
              <w:t>teuerliche Erleichterungen für Sanierungsvorhaben</w:t>
            </w:r>
            <w:r>
              <w:t xml:space="preserve">; Aufstockung des Sanierungsschecks auf € 300M in Verbindung mit der Umsetzung von Gesamtsanierungskonzepten und vergünstigten Kreditfinanzierungsmodellen für Privatpersonen </w:t>
            </w:r>
          </w:p>
          <w:p w14:paraId="66737D88" w14:textId="77777777" w:rsidR="008C320A" w:rsidRDefault="008C320A" w:rsidP="008C320A">
            <w:pPr>
              <w:pStyle w:val="KeinLeerraum"/>
              <w:jc w:val="both"/>
            </w:pPr>
          </w:p>
          <w:p w14:paraId="77A3B9D2" w14:textId="77777777" w:rsidR="008C320A" w:rsidRPr="006F0C49" w:rsidRDefault="008C320A" w:rsidP="008C320A">
            <w:pPr>
              <w:pStyle w:val="KeinLeerraum"/>
              <w:jc w:val="both"/>
              <w:rPr>
                <w:b/>
              </w:rPr>
            </w:pPr>
            <w:r>
              <w:rPr>
                <w:b/>
              </w:rPr>
              <w:t>2.2.2 Gesamtsanierungskonzepte</w:t>
            </w:r>
            <w:r w:rsidRPr="006F0C49">
              <w:rPr>
                <w:b/>
              </w:rPr>
              <w:t xml:space="preserve"> fördern</w:t>
            </w:r>
            <w:r>
              <w:rPr>
                <w:b/>
              </w:rPr>
              <w:t>:</w:t>
            </w:r>
          </w:p>
          <w:p w14:paraId="5F1CB150" w14:textId="43CB8727" w:rsidR="008C320A" w:rsidRPr="00397E62" w:rsidRDefault="008C320A" w:rsidP="008C320A">
            <w:pPr>
              <w:pStyle w:val="KeinLeerraum"/>
              <w:jc w:val="both"/>
            </w:pPr>
            <w:r w:rsidRPr="006F0C49">
              <w:t>Förderun</w:t>
            </w:r>
            <w:r w:rsidRPr="00397E62">
              <w:t>g nur für Sanierungen, denen ein von Expert</w:t>
            </w:r>
            <w:r>
              <w:t>Innen</w:t>
            </w:r>
            <w:r w:rsidRPr="00397E62">
              <w:t xml:space="preserve"> erstelltes Gesamtsanierungskonzept zu Grunde liegt; Sanierungsschritte können in diesem Kontext einzeln gefördert werden, solange eine umfassende Sanierung am Ende einer bestimmten Periode </w:t>
            </w:r>
            <w:r>
              <w:t>erreicht ist</w:t>
            </w:r>
            <w:r w:rsidRPr="00397E62">
              <w:t xml:space="preserve"> </w:t>
            </w:r>
          </w:p>
          <w:p w14:paraId="6ACB25D9" w14:textId="77777777" w:rsidR="008C320A" w:rsidRDefault="008C320A" w:rsidP="008C320A">
            <w:pPr>
              <w:pStyle w:val="KeinLeerraum"/>
              <w:jc w:val="both"/>
              <w:rPr>
                <w:b/>
                <w:color w:val="3366FF"/>
              </w:rPr>
            </w:pPr>
          </w:p>
          <w:p w14:paraId="0E77E33B" w14:textId="77777777" w:rsidR="008C320A" w:rsidRPr="00DD0476" w:rsidRDefault="008C320A" w:rsidP="008C320A">
            <w:pPr>
              <w:pStyle w:val="KeinLeerraum"/>
              <w:jc w:val="both"/>
              <w:rPr>
                <w:b/>
              </w:rPr>
            </w:pPr>
            <w:r>
              <w:rPr>
                <w:b/>
              </w:rPr>
              <w:t>2.2.3 Erhaltungsarbeiten neu definieren inklusive thermischer Sanierung:</w:t>
            </w:r>
          </w:p>
          <w:p w14:paraId="28550967" w14:textId="77777777" w:rsidR="008C320A" w:rsidRDefault="008C320A" w:rsidP="008C320A">
            <w:pPr>
              <w:pStyle w:val="KeinLeerraum"/>
              <w:jc w:val="both"/>
            </w:pPr>
            <w:r w:rsidRPr="00DD0476">
              <w:t>Zuordnung zu Erhaltungsarbeiten bei umfassende</w:t>
            </w:r>
            <w:r>
              <w:t>r</w:t>
            </w:r>
            <w:r w:rsidRPr="00DD0476">
              <w:t xml:space="preserve"> thermische</w:t>
            </w:r>
            <w:r>
              <w:t>r Sanierung</w:t>
            </w:r>
            <w:r w:rsidRPr="00DD0476">
              <w:t xml:space="preserve"> einschließlich de</w:t>
            </w:r>
            <w:r>
              <w:t>s</w:t>
            </w:r>
            <w:r w:rsidRPr="00DD0476">
              <w:t xml:space="preserve"> Einbau</w:t>
            </w:r>
            <w:r>
              <w:t>s</w:t>
            </w:r>
            <w:r w:rsidRPr="00DD0476">
              <w:t xml:space="preserve"> moderner haustechnischer Anlagen mit kontrollierter Wohnraumlüftung oder Einbau von erneuerbaren Energietechnologien </w:t>
            </w:r>
          </w:p>
          <w:p w14:paraId="760DFD9D" w14:textId="77777777" w:rsidR="008C320A" w:rsidRDefault="008C320A" w:rsidP="00A325E6">
            <w:pPr>
              <w:pStyle w:val="KeinLeerraum"/>
            </w:pPr>
          </w:p>
        </w:tc>
      </w:tr>
      <w:tr w:rsidR="008C320A" w14:paraId="522EA16D" w14:textId="77777777" w:rsidTr="00C26785">
        <w:tc>
          <w:tcPr>
            <w:tcW w:w="9212" w:type="dxa"/>
            <w:tcBorders>
              <w:left w:val="nil"/>
              <w:bottom w:val="nil"/>
              <w:right w:val="nil"/>
            </w:tcBorders>
          </w:tcPr>
          <w:p w14:paraId="3C354829" w14:textId="77777777" w:rsidR="008C320A" w:rsidRDefault="008C320A" w:rsidP="00DB6217">
            <w:pPr>
              <w:pStyle w:val="KeinLeerraum"/>
              <w:jc w:val="both"/>
              <w:rPr>
                <w:b/>
                <w:color w:val="3366FF"/>
              </w:rPr>
            </w:pPr>
          </w:p>
          <w:p w14:paraId="50546EE2" w14:textId="77777777" w:rsidR="008C320A" w:rsidRDefault="008C320A" w:rsidP="00DB6217">
            <w:pPr>
              <w:pStyle w:val="KeinLeerraum"/>
              <w:jc w:val="both"/>
              <w:rPr>
                <w:b/>
                <w:color w:val="3366FF"/>
              </w:rPr>
            </w:pPr>
          </w:p>
        </w:tc>
      </w:tr>
    </w:tbl>
    <w:p w14:paraId="60313DA8" w14:textId="77777777" w:rsidR="00C26785" w:rsidRDefault="00C26785">
      <w:r>
        <w:br w:type="page"/>
      </w: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C26785" w:rsidRPr="00C26785" w14:paraId="14891EBB" w14:textId="77777777" w:rsidTr="00C26785">
        <w:tc>
          <w:tcPr>
            <w:tcW w:w="921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3143E3DB" w14:textId="40859851" w:rsidR="00C26785" w:rsidRPr="00C26785" w:rsidRDefault="00C26785" w:rsidP="00DB6217">
            <w:pPr>
              <w:pStyle w:val="KeinLeerraum"/>
              <w:jc w:val="both"/>
              <w:rPr>
                <w:b/>
                <w:color w:val="3366FF"/>
                <w:sz w:val="2"/>
                <w:szCs w:val="2"/>
              </w:rPr>
            </w:pPr>
          </w:p>
        </w:tc>
      </w:tr>
      <w:tr w:rsidR="000D7626" w14:paraId="7B116F4A" w14:textId="77777777" w:rsidTr="008C320A">
        <w:tc>
          <w:tcPr>
            <w:tcW w:w="9212" w:type="dxa"/>
            <w:tcBorders>
              <w:top w:val="nil"/>
              <w:bottom w:val="single" w:sz="4" w:space="0" w:color="BFBFBF" w:themeColor="background1" w:themeShade="BF"/>
            </w:tcBorders>
          </w:tcPr>
          <w:p w14:paraId="5C1734E4" w14:textId="77777777" w:rsidR="00C26785" w:rsidRDefault="00C26785" w:rsidP="00DB6217">
            <w:pPr>
              <w:pStyle w:val="KeinLeerraum"/>
              <w:jc w:val="both"/>
              <w:rPr>
                <w:b/>
              </w:rPr>
            </w:pPr>
          </w:p>
          <w:p w14:paraId="5679DC55" w14:textId="669B0957" w:rsidR="007315DD" w:rsidRPr="00175812" w:rsidRDefault="0006682E" w:rsidP="00DB6217">
            <w:pPr>
              <w:pStyle w:val="KeinLeerraum"/>
              <w:jc w:val="both"/>
              <w:rPr>
                <w:b/>
              </w:rPr>
            </w:pPr>
            <w:r>
              <w:rPr>
                <w:b/>
              </w:rPr>
              <w:t>2.</w:t>
            </w:r>
            <w:r w:rsidR="007315DD">
              <w:rPr>
                <w:b/>
              </w:rPr>
              <w:t>2.4 Harmonisierung und b</w:t>
            </w:r>
            <w:r w:rsidR="007315DD" w:rsidRPr="00175812">
              <w:rPr>
                <w:b/>
              </w:rPr>
              <w:t xml:space="preserve">iennale Anpassung der Vergaberichtlinien: </w:t>
            </w:r>
          </w:p>
          <w:p w14:paraId="1C069EF8" w14:textId="720CC41F" w:rsidR="007315DD" w:rsidRDefault="007315DD" w:rsidP="00DB6217">
            <w:pPr>
              <w:pStyle w:val="KeinLeerraum"/>
              <w:jc w:val="both"/>
            </w:pPr>
            <w:r>
              <w:t xml:space="preserve">Sämtliche </w:t>
            </w:r>
            <w:r w:rsidRPr="00175812">
              <w:t xml:space="preserve">Vergaberichtlinien von </w:t>
            </w:r>
            <w:r>
              <w:t>Bund, Ländern, Gemeinden, Finanzierungsinstituten, Förderstellen etc. sind auf ihre Kompatibilitä</w:t>
            </w:r>
            <w:r w:rsidRPr="00175812">
              <w:t>t mit de</w:t>
            </w:r>
            <w:r w:rsidR="00622319">
              <w:t>n</w:t>
            </w:r>
            <w:r>
              <w:t xml:space="preserve"> Pariser Klimaschutzzielen zu überprü</w:t>
            </w:r>
            <w:r w:rsidRPr="00175812">
              <w:t xml:space="preserve">fen und </w:t>
            </w:r>
            <w:r>
              <w:t xml:space="preserve">ggf. </w:t>
            </w:r>
            <w:r w:rsidRPr="00175812">
              <w:t>nachzubess</w:t>
            </w:r>
            <w:r>
              <w:t xml:space="preserve">ern; Strukturierte Analyse und Einstellung von Förderungen </w:t>
            </w:r>
            <w:r w:rsidR="00F6056B">
              <w:t xml:space="preserve">umweltschädlicher Maßnahmen </w:t>
            </w:r>
            <w:r>
              <w:t xml:space="preserve">im Gebäudebereich </w:t>
            </w:r>
          </w:p>
          <w:p w14:paraId="4B3E4614" w14:textId="77777777" w:rsidR="007315DD" w:rsidRDefault="007315DD" w:rsidP="00DB6217">
            <w:pPr>
              <w:pStyle w:val="KeinLeerraum"/>
              <w:jc w:val="both"/>
              <w:rPr>
                <w:b/>
              </w:rPr>
            </w:pPr>
          </w:p>
          <w:p w14:paraId="5ADD3970" w14:textId="64C247EA" w:rsidR="000D7626" w:rsidRPr="008A4F28" w:rsidRDefault="0006682E" w:rsidP="00DB6217">
            <w:pPr>
              <w:pStyle w:val="KeinLeerraum"/>
              <w:jc w:val="both"/>
              <w:rPr>
                <w:b/>
              </w:rPr>
            </w:pPr>
            <w:r>
              <w:rPr>
                <w:b/>
              </w:rPr>
              <w:t>2.</w:t>
            </w:r>
            <w:r w:rsidR="007315DD">
              <w:rPr>
                <w:b/>
              </w:rPr>
              <w:t xml:space="preserve">2.5 </w:t>
            </w:r>
            <w:r w:rsidR="000D7626" w:rsidRPr="008A4F28">
              <w:rPr>
                <w:b/>
              </w:rPr>
              <w:t xml:space="preserve">Vergabekriterien bei Ausschreibungen für Gebäude um Entwicklungsfähigkeit erweitern: </w:t>
            </w:r>
          </w:p>
          <w:p w14:paraId="43BCF4E3" w14:textId="7BF62810" w:rsidR="00BE1EA3" w:rsidRDefault="000D7626" w:rsidP="00DB6217">
            <w:pPr>
              <w:pStyle w:val="KeinLeerraum"/>
              <w:jc w:val="both"/>
            </w:pPr>
            <w:r w:rsidRPr="008A4F28">
              <w:t>Die Vergabe von Wohn- und Nicht</w:t>
            </w:r>
            <w:r w:rsidR="00F6056B">
              <w:t>-W</w:t>
            </w:r>
            <w:r w:rsidRPr="008A4F28">
              <w:t xml:space="preserve">ohngebäuden </w:t>
            </w:r>
            <w:r w:rsidR="009C4491">
              <w:t>soll</w:t>
            </w:r>
            <w:r w:rsidRPr="008A4F28">
              <w:t xml:space="preserve"> um Aspekte der </w:t>
            </w:r>
            <w:r w:rsidR="005C6940">
              <w:t xml:space="preserve">Nutzungsoffenheit, </w:t>
            </w:r>
            <w:r w:rsidR="00107A16">
              <w:t>Multifunktionalität</w:t>
            </w:r>
            <w:r w:rsidRPr="008A4F28">
              <w:t xml:space="preserve"> und Resilienz erweitert</w:t>
            </w:r>
            <w:r w:rsidR="00893478">
              <w:t xml:space="preserve"> werden</w:t>
            </w:r>
            <w:r w:rsidRPr="008A4F28">
              <w:t xml:space="preserve">; Darstellung von entwicklungsfähigen Strukturen, die eine </w:t>
            </w:r>
            <w:r w:rsidR="002D61A1">
              <w:t>langfristige</w:t>
            </w:r>
            <w:r w:rsidR="002D61A1" w:rsidRPr="008A4F28">
              <w:t xml:space="preserve"> </w:t>
            </w:r>
            <w:r>
              <w:t>Bauwerksn</w:t>
            </w:r>
            <w:r w:rsidRPr="008A4F28">
              <w:t>utzung unter veränderte</w:t>
            </w:r>
            <w:r w:rsidR="00BE1EA3">
              <w:t xml:space="preserve">n Rahmenbedingungen ermöglichen, um </w:t>
            </w:r>
            <w:r w:rsidR="00BE1EA3" w:rsidRPr="00BE1EA3">
              <w:t xml:space="preserve">flexiblere Nutzungsmischungen und </w:t>
            </w:r>
            <w:r w:rsidR="00893478">
              <w:t>langfristige Entwicklungspotentiale zu erzielen</w:t>
            </w:r>
          </w:p>
          <w:p w14:paraId="0F93F877" w14:textId="77777777" w:rsidR="00F44A0E" w:rsidRDefault="00F44A0E" w:rsidP="00DB6217">
            <w:pPr>
              <w:pStyle w:val="KeinLeerraum"/>
              <w:jc w:val="both"/>
            </w:pPr>
          </w:p>
          <w:p w14:paraId="01B9C0EE" w14:textId="0C4DB8C6" w:rsidR="000D7626" w:rsidRPr="00F85E7A" w:rsidRDefault="0006682E" w:rsidP="00DB6217">
            <w:pPr>
              <w:pStyle w:val="KeinLeerraum"/>
              <w:jc w:val="both"/>
              <w:rPr>
                <w:b/>
              </w:rPr>
            </w:pPr>
            <w:r>
              <w:rPr>
                <w:b/>
              </w:rPr>
              <w:t>2.</w:t>
            </w:r>
            <w:r w:rsidR="007315DD">
              <w:rPr>
                <w:b/>
              </w:rPr>
              <w:t xml:space="preserve">2.6 </w:t>
            </w:r>
            <w:r w:rsidR="000D7626" w:rsidRPr="00F85E7A">
              <w:rPr>
                <w:b/>
              </w:rPr>
              <w:t xml:space="preserve">Anpassung der Wohnbauförderung an ambitionierte Gebäudekonzepte: </w:t>
            </w:r>
          </w:p>
          <w:p w14:paraId="268957D0" w14:textId="6ECCDB1C" w:rsidR="00F445F5" w:rsidRDefault="000D7626" w:rsidP="00DB6217">
            <w:pPr>
              <w:pStyle w:val="KeinLeerraum"/>
              <w:jc w:val="both"/>
            </w:pPr>
            <w:r>
              <w:t>Kopp</w:t>
            </w:r>
            <w:r w:rsidR="00622319">
              <w:t>e</w:t>
            </w:r>
            <w:r>
              <w:t xml:space="preserve">lung der Wohnbauförderung an ambitionierte Gebäudekonzepte; Integration von Mobilitätsaspekten (Anbindung an öffentlichen Verkehr) in den Anforderungen; Mindeststandards müssen die aktuelle Bauordnung </w:t>
            </w:r>
            <w:r w:rsidR="002D61A1">
              <w:t>sehr deutlich</w:t>
            </w:r>
            <w:r w:rsidR="00C71551">
              <w:t xml:space="preserve"> übertreffen; Z</w:t>
            </w:r>
            <w:r>
              <w:t>usätzliche Förderung von innovativen Systemen, die Lastverschiebungspotentiale ermöglichen; Ausschluss von der Förderung, wenn fossile Energie eingesetzt wird</w:t>
            </w:r>
          </w:p>
          <w:p w14:paraId="7BEE2BC0" w14:textId="3BA12862" w:rsidR="00BE1EA3" w:rsidRDefault="00BE1EA3" w:rsidP="007315DD">
            <w:pPr>
              <w:pStyle w:val="KeinLeerraum"/>
              <w:rPr>
                <w:color w:val="FFFFFF" w:themeColor="background1"/>
              </w:rPr>
            </w:pPr>
          </w:p>
        </w:tc>
      </w:tr>
      <w:tr w:rsidR="00655957" w14:paraId="2386ED35" w14:textId="77777777" w:rsidTr="001F4796">
        <w:tc>
          <w:tcPr>
            <w:tcW w:w="9212" w:type="dxa"/>
            <w:shd w:val="clear" w:color="auto" w:fill="638EA4"/>
          </w:tcPr>
          <w:p w14:paraId="0A794B47" w14:textId="1A2A6927" w:rsidR="00655957" w:rsidRPr="00B65FA6" w:rsidRDefault="00886653" w:rsidP="001F479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</w:t>
            </w:r>
          </w:p>
          <w:p w14:paraId="6A499285" w14:textId="51C3AD90" w:rsidR="00655957" w:rsidRDefault="00655957" w:rsidP="001F4796">
            <w:r>
              <w:rPr>
                <w:color w:val="FFFFFF" w:themeColor="background1"/>
              </w:rPr>
              <w:t>BEGLEITMASSNAHMEN</w:t>
            </w:r>
          </w:p>
        </w:tc>
      </w:tr>
      <w:tr w:rsidR="000D7626" w14:paraId="679DFE41" w14:textId="77777777" w:rsidTr="0070311C">
        <w:tc>
          <w:tcPr>
            <w:tcW w:w="9212" w:type="dxa"/>
            <w:shd w:val="clear" w:color="auto" w:fill="auto"/>
          </w:tcPr>
          <w:p w14:paraId="465184C7" w14:textId="77777777" w:rsidR="007F2F23" w:rsidRDefault="007F2F23" w:rsidP="00A325E6">
            <w:pPr>
              <w:pStyle w:val="KeinLeerraum"/>
              <w:rPr>
                <w:b/>
              </w:rPr>
            </w:pPr>
          </w:p>
          <w:p w14:paraId="479241D0" w14:textId="1CB63276" w:rsidR="000D7626" w:rsidRDefault="0006682E" w:rsidP="00DB6217">
            <w:pPr>
              <w:pStyle w:val="KeinLeerraum"/>
              <w:jc w:val="both"/>
              <w:rPr>
                <w:b/>
              </w:rPr>
            </w:pPr>
            <w:r>
              <w:rPr>
                <w:b/>
              </w:rPr>
              <w:t>2.</w:t>
            </w:r>
            <w:r w:rsidR="007315DD">
              <w:rPr>
                <w:b/>
              </w:rPr>
              <w:t xml:space="preserve">3.1 </w:t>
            </w:r>
            <w:r w:rsidR="000D7626">
              <w:rPr>
                <w:b/>
              </w:rPr>
              <w:t>Überregionale, strukturierte Erfassung des Gebäudebestands</w:t>
            </w:r>
            <w:r w:rsidR="000D7626" w:rsidRPr="001D07BA">
              <w:rPr>
                <w:b/>
              </w:rPr>
              <w:t xml:space="preserve">: </w:t>
            </w:r>
          </w:p>
          <w:p w14:paraId="50F3B44F" w14:textId="1E111FDA" w:rsidR="000D7626" w:rsidRDefault="000D7626" w:rsidP="00DB6217">
            <w:pPr>
              <w:pStyle w:val="KeinLeerraum"/>
              <w:jc w:val="both"/>
            </w:pPr>
            <w:r w:rsidRPr="001D07BA">
              <w:t>Strukturierte überregionale Erfassung aller Gebäude im Rahmen der Erstellung bzw. Aktu</w:t>
            </w:r>
            <w:r>
              <w:t>a</w:t>
            </w:r>
            <w:r w:rsidRPr="001D07BA">
              <w:t xml:space="preserve">lisierung der Energieausweise; Nutzung einer national einheitlichen Datenbank für </w:t>
            </w:r>
            <w:r>
              <w:t>Energieausweise und g</w:t>
            </w:r>
            <w:r w:rsidR="00D73DDA">
              <w:t>ebäudebezogene</w:t>
            </w:r>
            <w:r w:rsidRPr="001D07BA">
              <w:t xml:space="preserve"> Daten</w:t>
            </w:r>
            <w:r w:rsidR="00B13C5F">
              <w:t xml:space="preserve"> zur Erfassung der thermischen Qualität des Gebäudebestands </w:t>
            </w:r>
          </w:p>
          <w:p w14:paraId="7BFD4736" w14:textId="77777777" w:rsidR="007F2F23" w:rsidRDefault="007F2F23" w:rsidP="00DB6217">
            <w:pPr>
              <w:pStyle w:val="KeinLeerraum"/>
              <w:jc w:val="both"/>
            </w:pPr>
          </w:p>
          <w:p w14:paraId="6284AFAC" w14:textId="14BAAAFE" w:rsidR="007F2F23" w:rsidRPr="006F0C49" w:rsidRDefault="0006682E" w:rsidP="00DB6217">
            <w:pPr>
              <w:pStyle w:val="KeinLeerraum"/>
              <w:jc w:val="both"/>
              <w:rPr>
                <w:b/>
              </w:rPr>
            </w:pPr>
            <w:r>
              <w:rPr>
                <w:b/>
              </w:rPr>
              <w:t>2.</w:t>
            </w:r>
            <w:r w:rsidR="007315DD">
              <w:rPr>
                <w:b/>
              </w:rPr>
              <w:t xml:space="preserve">3.2 </w:t>
            </w:r>
            <w:r w:rsidR="007F2F23" w:rsidRPr="006F0C49">
              <w:rPr>
                <w:b/>
              </w:rPr>
              <w:t>Offene Architekturwettbewerbe:</w:t>
            </w:r>
          </w:p>
          <w:p w14:paraId="3EA1DC14" w14:textId="1912F159" w:rsidR="007F2F23" w:rsidRDefault="007F2F23" w:rsidP="00DB6217">
            <w:pPr>
              <w:pStyle w:val="KeinLeerraum"/>
              <w:jc w:val="both"/>
            </w:pPr>
            <w:r w:rsidRPr="00122653">
              <w:t>Einsatz offener Architekturwettbewerbe zur bestmöglichen Ers</w:t>
            </w:r>
            <w:r>
              <w:t>chließung des kreativen Potenti</w:t>
            </w:r>
            <w:r w:rsidRPr="00122653">
              <w:t>als bei der Entwicklung neuer Lösungen</w:t>
            </w:r>
            <w:r>
              <w:t xml:space="preserve">; Festlegung von adäquaten Rahmenbedingungen zur Durchführung von wirtschaftlich vertretbaren Wettbewerben </w:t>
            </w:r>
          </w:p>
          <w:p w14:paraId="161C66FB" w14:textId="77777777" w:rsidR="000D7626" w:rsidRDefault="000D7626" w:rsidP="00DB6217">
            <w:pPr>
              <w:pStyle w:val="KeinLeerraum"/>
              <w:jc w:val="both"/>
            </w:pPr>
          </w:p>
          <w:p w14:paraId="5AA76900" w14:textId="583E88BF" w:rsidR="000D7626" w:rsidRPr="001B2873" w:rsidRDefault="0006682E" w:rsidP="00DB6217">
            <w:pPr>
              <w:pStyle w:val="KeinLeerraum"/>
              <w:jc w:val="both"/>
              <w:rPr>
                <w:b/>
              </w:rPr>
            </w:pPr>
            <w:r>
              <w:rPr>
                <w:b/>
              </w:rPr>
              <w:t>2.</w:t>
            </w:r>
            <w:r w:rsidR="007315DD">
              <w:rPr>
                <w:b/>
              </w:rPr>
              <w:t xml:space="preserve">3.3 </w:t>
            </w:r>
            <w:r w:rsidR="000D7626" w:rsidRPr="001B2873">
              <w:rPr>
                <w:b/>
              </w:rPr>
              <w:t xml:space="preserve">Festlegung von messbaren </w:t>
            </w:r>
            <w:r w:rsidR="000D7626">
              <w:rPr>
                <w:b/>
              </w:rPr>
              <w:t>Zielgrößen</w:t>
            </w:r>
            <w:r w:rsidR="000D7626" w:rsidRPr="001B2873">
              <w:rPr>
                <w:b/>
              </w:rPr>
              <w:t>, die mit</w:t>
            </w:r>
            <w:r w:rsidR="000D7626">
              <w:rPr>
                <w:b/>
              </w:rPr>
              <w:t>tels</w:t>
            </w:r>
            <w:r w:rsidR="000D7626" w:rsidRPr="00020403">
              <w:rPr>
                <w:b/>
              </w:rPr>
              <w:t xml:space="preserve"> quantitativer</w:t>
            </w:r>
            <w:r w:rsidR="000D7626" w:rsidRPr="001B2873">
              <w:rPr>
                <w:b/>
              </w:rPr>
              <w:t xml:space="preserve"> Indikatoren </w:t>
            </w:r>
            <w:r w:rsidR="000D7626">
              <w:rPr>
                <w:b/>
              </w:rPr>
              <w:t>überprüfbar</w:t>
            </w:r>
            <w:r w:rsidR="000D7626" w:rsidRPr="001B2873">
              <w:rPr>
                <w:b/>
              </w:rPr>
              <w:t xml:space="preserve"> sind:</w:t>
            </w:r>
          </w:p>
          <w:p w14:paraId="6373F938" w14:textId="292D9C8A" w:rsidR="000D7626" w:rsidRDefault="000D7626" w:rsidP="00DB6217">
            <w:pPr>
              <w:pStyle w:val="KeinLeerraum"/>
              <w:jc w:val="both"/>
            </w:pPr>
            <w:r>
              <w:t>Definition von Indikatoren zur Bewertung der Wirksamkeit von Maßnahmen (räumlich, zeitlich, sektoral unterteilt) zur Zielerreichung der übergeordneten Klimaziele; Überprüfung des Fortschritts von einer unabhängigen Stelle in periodischen Abständen und entsprechende Nachschärfung der Maßnahmen und Regulative</w:t>
            </w:r>
            <w:r w:rsidR="00F54C97">
              <w:t>n</w:t>
            </w:r>
            <w:r>
              <w:t xml:space="preserve"> zur Zielerreichung </w:t>
            </w:r>
          </w:p>
          <w:p w14:paraId="0E53EA58" w14:textId="77777777" w:rsidR="00FF7000" w:rsidRDefault="00FF7000" w:rsidP="00DB6217">
            <w:pPr>
              <w:pStyle w:val="KeinLeerraum"/>
              <w:jc w:val="both"/>
            </w:pPr>
          </w:p>
          <w:p w14:paraId="1E7EA676" w14:textId="6622D1FB" w:rsidR="00FF7000" w:rsidRPr="006F0C49" w:rsidRDefault="0006682E" w:rsidP="00DB6217">
            <w:pPr>
              <w:pStyle w:val="KeinLeerraum"/>
              <w:jc w:val="both"/>
              <w:rPr>
                <w:b/>
              </w:rPr>
            </w:pPr>
            <w:r>
              <w:rPr>
                <w:b/>
              </w:rPr>
              <w:t>2.</w:t>
            </w:r>
            <w:r w:rsidR="007315DD">
              <w:rPr>
                <w:b/>
              </w:rPr>
              <w:t xml:space="preserve">3.4 </w:t>
            </w:r>
            <w:r w:rsidR="00FF7000" w:rsidRPr="006F0C49">
              <w:rPr>
                <w:b/>
              </w:rPr>
              <w:t xml:space="preserve">Bildung </w:t>
            </w:r>
            <w:r w:rsidR="00397E62">
              <w:rPr>
                <w:b/>
              </w:rPr>
              <w:t>zum Thema nachhaltiges Wohnen:</w:t>
            </w:r>
          </w:p>
          <w:p w14:paraId="4451F122" w14:textId="664F37DF" w:rsidR="00FF7000" w:rsidRDefault="00FF7000" w:rsidP="00DB6217">
            <w:pPr>
              <w:pStyle w:val="KeinLeerraum"/>
              <w:jc w:val="both"/>
            </w:pPr>
            <w:r>
              <w:t>Implementierung der Erkenntnisse über nachhaltiges Wohnen, Bauen und Leben in die Unterstufe der allgemeinbildenden Schulen</w:t>
            </w:r>
            <w:r w:rsidR="00F4203E">
              <w:t>,</w:t>
            </w:r>
            <w:r>
              <w:t xml:space="preserve"> aufbereitet von einem </w:t>
            </w:r>
            <w:r w:rsidR="00F4203E">
              <w:t>w</w:t>
            </w:r>
            <w:r w:rsidR="000C17F9">
              <w:t>issenschaftlichen ExpertInnent</w:t>
            </w:r>
            <w:r>
              <w:t>eam in Form von Anschauungsbeispielen in allen Unterrichtsgegenständen in Schulbücher</w:t>
            </w:r>
            <w:r w:rsidR="00397E62">
              <w:t>n</w:t>
            </w:r>
            <w:r>
              <w:t xml:space="preserve"> und E</w:t>
            </w:r>
            <w:r w:rsidR="00F4203E">
              <w:t>-</w:t>
            </w:r>
            <w:r w:rsidR="00837A04">
              <w:t>L</w:t>
            </w:r>
            <w:r>
              <w:t>earning Plattformen</w:t>
            </w:r>
            <w:r w:rsidR="00C71551">
              <w:t xml:space="preserve">; </w:t>
            </w:r>
            <w:r w:rsidR="00F4203E">
              <w:t>Ablösung</w:t>
            </w:r>
            <w:r>
              <w:t xml:space="preserve"> von den zu kurz greifenden Maßnahmen der Mikroförderungen für einzelne Lehrer</w:t>
            </w:r>
            <w:r w:rsidR="000C17F9">
              <w:t>Innen</w:t>
            </w:r>
            <w:r>
              <w:t xml:space="preserve"> in einzelnen Fächern in nur einem Schuljahr </w:t>
            </w:r>
          </w:p>
          <w:p w14:paraId="2BC00997" w14:textId="77777777" w:rsidR="00271DB9" w:rsidRDefault="00271DB9" w:rsidP="00DB6217">
            <w:pPr>
              <w:pStyle w:val="KeinLeerraum"/>
              <w:jc w:val="both"/>
              <w:rPr>
                <w:b/>
              </w:rPr>
            </w:pPr>
          </w:p>
          <w:p w14:paraId="7EF966DF" w14:textId="0CEADC41" w:rsidR="00FF7000" w:rsidRPr="006F0C49" w:rsidRDefault="0006682E" w:rsidP="00DB6217">
            <w:pPr>
              <w:pStyle w:val="KeinLeerraum"/>
              <w:jc w:val="both"/>
              <w:rPr>
                <w:b/>
              </w:rPr>
            </w:pPr>
            <w:r>
              <w:rPr>
                <w:b/>
              </w:rPr>
              <w:t>2.</w:t>
            </w:r>
            <w:r w:rsidR="007315DD">
              <w:rPr>
                <w:b/>
              </w:rPr>
              <w:t xml:space="preserve">3.5 </w:t>
            </w:r>
            <w:r w:rsidR="00FF7000" w:rsidRPr="006F0C49">
              <w:rPr>
                <w:b/>
              </w:rPr>
              <w:t>Alternativ</w:t>
            </w:r>
            <w:r w:rsidR="00BA5770">
              <w:rPr>
                <w:b/>
              </w:rPr>
              <w:t xml:space="preserve">e </w:t>
            </w:r>
            <w:r w:rsidR="00BA5770" w:rsidRPr="00271DB9">
              <w:rPr>
                <w:b/>
                <w:i/>
              </w:rPr>
              <w:t>role models</w:t>
            </w:r>
            <w:r w:rsidR="00BA5770">
              <w:rPr>
                <w:b/>
              </w:rPr>
              <w:t xml:space="preserve"> </w:t>
            </w:r>
            <w:r w:rsidR="00FF7000" w:rsidRPr="006F0C49">
              <w:rPr>
                <w:b/>
              </w:rPr>
              <w:t>zum Eigenheim</w:t>
            </w:r>
            <w:r w:rsidR="00324684">
              <w:rPr>
                <w:b/>
              </w:rPr>
              <w:t xml:space="preserve"> in der Bildung</w:t>
            </w:r>
            <w:r w:rsidR="00271DB9">
              <w:rPr>
                <w:b/>
              </w:rPr>
              <w:t>:</w:t>
            </w:r>
          </w:p>
          <w:p w14:paraId="4880B0A6" w14:textId="15B5E8A1" w:rsidR="000D7626" w:rsidRDefault="00FF7000" w:rsidP="00DB6217">
            <w:pPr>
              <w:pStyle w:val="KeinLeerraum"/>
              <w:jc w:val="both"/>
            </w:pPr>
            <w:r>
              <w:t xml:space="preserve">Massive Entwicklung von </w:t>
            </w:r>
            <w:r w:rsidR="00502883">
              <w:t>a</w:t>
            </w:r>
            <w:r>
              <w:t>lternativ</w:t>
            </w:r>
            <w:r w:rsidR="00502883">
              <w:t xml:space="preserve">en </w:t>
            </w:r>
            <w:r w:rsidR="00502883" w:rsidRPr="00271DB9">
              <w:rPr>
                <w:i/>
              </w:rPr>
              <w:t>role models</w:t>
            </w:r>
            <w:r>
              <w:t xml:space="preserve"> zum Eigenheim </w:t>
            </w:r>
            <w:r w:rsidR="00502883">
              <w:t xml:space="preserve">in der Bildung </w:t>
            </w:r>
            <w:r>
              <w:t>ab dem Kinder</w:t>
            </w:r>
            <w:r w:rsidR="00D73DDA">
              <w:t>-</w:t>
            </w:r>
            <w:r>
              <w:t xml:space="preserve">garten bis zu Aufklärungssendungen über klimagerechte </w:t>
            </w:r>
            <w:r w:rsidR="00D73DDA">
              <w:t xml:space="preserve">und </w:t>
            </w:r>
            <w:r>
              <w:t>sozial</w:t>
            </w:r>
            <w:r w:rsidR="00D73DDA">
              <w:t xml:space="preserve"> </w:t>
            </w:r>
            <w:r>
              <w:t>verträgliche Alternativmodelle</w:t>
            </w:r>
            <w:r w:rsidR="00502883">
              <w:t xml:space="preserve"> für Erwachsene</w:t>
            </w:r>
          </w:p>
          <w:p w14:paraId="05D8C22D" w14:textId="208D93C4" w:rsidR="007F2F23" w:rsidRPr="00397E62" w:rsidRDefault="007F2F23" w:rsidP="00A325E6">
            <w:pPr>
              <w:pStyle w:val="KeinLeerraum"/>
            </w:pPr>
          </w:p>
        </w:tc>
      </w:tr>
    </w:tbl>
    <w:p w14:paraId="2CCFBED0" w14:textId="6810CDF0" w:rsidR="00F50F21" w:rsidRDefault="00886653" w:rsidP="00F50F21">
      <w:r>
        <w:rPr>
          <w:sz w:val="32"/>
          <w:szCs w:val="32"/>
        </w:rPr>
        <w:t xml:space="preserve">3 </w:t>
      </w:r>
      <w:r w:rsidR="00F50F21">
        <w:rPr>
          <w:sz w:val="32"/>
          <w:szCs w:val="32"/>
        </w:rPr>
        <w:t xml:space="preserve">ENERGIEKOSTEN, </w:t>
      </w:r>
      <w:r w:rsidR="00F50F21" w:rsidRPr="0070311C">
        <w:rPr>
          <w:sz w:val="32"/>
          <w:szCs w:val="32"/>
        </w:rPr>
        <w:t>ENERGIEVERSORGUNG</w:t>
      </w:r>
      <w:r w:rsidR="00F50F21">
        <w:rPr>
          <w:sz w:val="32"/>
          <w:szCs w:val="32"/>
        </w:rPr>
        <w:t xml:space="preserve"> UND -SPEICHERUNG</w:t>
      </w: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74"/>
      </w:tblGrid>
      <w:tr w:rsidR="00F50F21" w14:paraId="7EBF21A9" w14:textId="77777777" w:rsidTr="00F54420">
        <w:tc>
          <w:tcPr>
            <w:tcW w:w="9174" w:type="dxa"/>
            <w:shd w:val="clear" w:color="auto" w:fill="4E5C76"/>
          </w:tcPr>
          <w:p w14:paraId="212B5DD2" w14:textId="4EFFCAAC" w:rsidR="00F50F21" w:rsidRPr="00B65FA6" w:rsidRDefault="00886653" w:rsidP="00F50F2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</w:t>
            </w:r>
          </w:p>
          <w:p w14:paraId="17BB1270" w14:textId="2EDE674D" w:rsidR="00F50F21" w:rsidRDefault="00F50F21" w:rsidP="00F50F21">
            <w:r>
              <w:rPr>
                <w:color w:val="FFFFFF" w:themeColor="background1"/>
              </w:rPr>
              <w:t>REGULATIVE MASSNAHMEN</w:t>
            </w:r>
          </w:p>
        </w:tc>
      </w:tr>
      <w:tr w:rsidR="00F50F21" w14:paraId="23E88DC7" w14:textId="77777777" w:rsidTr="00F54420">
        <w:tc>
          <w:tcPr>
            <w:tcW w:w="9174" w:type="dxa"/>
            <w:tcBorders>
              <w:bottom w:val="single" w:sz="4" w:space="0" w:color="BFBFBF" w:themeColor="background1" w:themeShade="BF"/>
            </w:tcBorders>
          </w:tcPr>
          <w:p w14:paraId="7AB18942" w14:textId="77777777" w:rsidR="00F50F21" w:rsidRDefault="00F50F21" w:rsidP="00F50F21">
            <w:pPr>
              <w:pStyle w:val="KeinLeerraum"/>
              <w:rPr>
                <w:b/>
              </w:rPr>
            </w:pPr>
          </w:p>
          <w:p w14:paraId="07EBB027" w14:textId="16D5F610" w:rsidR="00F50F21" w:rsidRDefault="0006682E" w:rsidP="00DB6217">
            <w:pPr>
              <w:pStyle w:val="KeinLeerraum"/>
              <w:jc w:val="both"/>
              <w:rPr>
                <w:b/>
              </w:rPr>
            </w:pPr>
            <w:r>
              <w:rPr>
                <w:b/>
              </w:rPr>
              <w:t>3.</w:t>
            </w:r>
            <w:r w:rsidR="007315DD">
              <w:rPr>
                <w:b/>
              </w:rPr>
              <w:t xml:space="preserve">1.1 </w:t>
            </w:r>
            <w:r w:rsidR="00F50F21">
              <w:rPr>
                <w:b/>
              </w:rPr>
              <w:t xml:space="preserve">Bundesgesetz zum </w:t>
            </w:r>
            <w:r w:rsidR="00F50F21" w:rsidRPr="006F0C49">
              <w:rPr>
                <w:b/>
                <w:i/>
              </w:rPr>
              <w:t>Effortsharing</w:t>
            </w:r>
            <w:r w:rsidR="00F50F21">
              <w:rPr>
                <w:b/>
              </w:rPr>
              <w:t xml:space="preserve"> erneuerbare Energien:</w:t>
            </w:r>
          </w:p>
          <w:p w14:paraId="77D16F5A" w14:textId="501C3465" w:rsidR="00F50F21" w:rsidRDefault="00D56518" w:rsidP="00DB6217">
            <w:pPr>
              <w:pStyle w:val="KeinLeerraum"/>
              <w:jc w:val="both"/>
            </w:pPr>
            <w:r>
              <w:t>Festlegung</w:t>
            </w:r>
            <w:r w:rsidR="00F50F21" w:rsidRPr="004A74A2">
              <w:t xml:space="preserve"> </w:t>
            </w:r>
            <w:r w:rsidR="00F50F21">
              <w:t xml:space="preserve">auf Basis der als Begleitmaßnahme erarbeiteten politischen Entscheidung, wieviel kWh erneuerbare Energie </w:t>
            </w:r>
            <w:r w:rsidR="005A2C40">
              <w:t xml:space="preserve">bei gleichzeitiger Minimierung des Energiebedarfes </w:t>
            </w:r>
            <w:r w:rsidR="00F50F21">
              <w:t>pro m² Bauland, pro m² sonstiger Flächen, Nutzungskategorie oder Bruttogeschoßfläche (BGF) österreichweit bis 2050 zu er</w:t>
            </w:r>
            <w:r>
              <w:t>zielen</w:t>
            </w:r>
            <w:r w:rsidR="00F50F21">
              <w:t xml:space="preserve"> und </w:t>
            </w:r>
            <w:r>
              <w:t>vorzuhalten</w:t>
            </w:r>
            <w:r w:rsidR="00F50F21">
              <w:t xml:space="preserve"> ist</w:t>
            </w:r>
          </w:p>
          <w:p w14:paraId="38A9CFD3" w14:textId="77777777" w:rsidR="00F50F21" w:rsidRPr="004A74A2" w:rsidRDefault="00F50F21" w:rsidP="00DB6217">
            <w:pPr>
              <w:pStyle w:val="KeinLeerraum"/>
              <w:jc w:val="both"/>
            </w:pPr>
          </w:p>
          <w:p w14:paraId="65969C81" w14:textId="74544713" w:rsidR="00F50F21" w:rsidRDefault="0006682E" w:rsidP="00DB6217">
            <w:pPr>
              <w:pStyle w:val="KeinLeerraum"/>
              <w:jc w:val="both"/>
              <w:rPr>
                <w:b/>
              </w:rPr>
            </w:pPr>
            <w:r>
              <w:rPr>
                <w:b/>
              </w:rPr>
              <w:t>3.</w:t>
            </w:r>
            <w:r w:rsidR="007315DD">
              <w:rPr>
                <w:b/>
              </w:rPr>
              <w:t xml:space="preserve">1.2 </w:t>
            </w:r>
            <w:r w:rsidR="00F50F21">
              <w:rPr>
                <w:b/>
              </w:rPr>
              <w:t xml:space="preserve">Anpassung des Elektrizitätswirtschafts- und Organisationsgesetzes (ELWOG): </w:t>
            </w:r>
          </w:p>
          <w:p w14:paraId="018521BD" w14:textId="01DA2704" w:rsidR="00F445F5" w:rsidRDefault="00F50F21" w:rsidP="00DB6217">
            <w:pPr>
              <w:pStyle w:val="KeinLeerraum"/>
              <w:jc w:val="both"/>
            </w:pPr>
            <w:r w:rsidRPr="00521DC1">
              <w:t>Netztarife bei dezentralen Ökostroman</w:t>
            </w:r>
            <w:r>
              <w:t>la</w:t>
            </w:r>
            <w:r w:rsidRPr="00521DC1">
              <w:t>gen reduzieren, Eigenstrombesteuerung abschaffen</w:t>
            </w:r>
            <w:r w:rsidR="000C17F9">
              <w:t>;</w:t>
            </w:r>
            <w:r w:rsidRPr="00521DC1">
              <w:t xml:space="preserve"> Streichung der Elektrizitätsabgabe bis zum Erreichen von 15 GW </w:t>
            </w:r>
            <w:r w:rsidR="000C17F9">
              <w:t xml:space="preserve">Gesamtleistung </w:t>
            </w:r>
            <w:r w:rsidRPr="00521DC1">
              <w:t>für Photovoltaik, um nachhaltige Geschäftsmodelle für PV im Me</w:t>
            </w:r>
            <w:r>
              <w:t>hrgeschoßwohnbau zu ermöglichen; gemeinsame Nutzung von Energie über das Gebäude hinaus ermöglichen (Schaffung von lokalen Energie-Communities</w:t>
            </w:r>
            <w:r w:rsidR="000C17F9">
              <w:t>)</w:t>
            </w:r>
            <w:r>
              <w:t>; Überarbeitung der Anschluss-Verpflichtung für einzelne Grundstücke</w:t>
            </w:r>
          </w:p>
          <w:p w14:paraId="4D87B6EC" w14:textId="77777777" w:rsidR="00D73DDA" w:rsidRDefault="00D73DDA" w:rsidP="00DB6217">
            <w:pPr>
              <w:pStyle w:val="KeinLeerraum"/>
              <w:jc w:val="both"/>
              <w:rPr>
                <w:b/>
              </w:rPr>
            </w:pPr>
          </w:p>
          <w:p w14:paraId="35545C82" w14:textId="6037A5E7" w:rsidR="00F50F21" w:rsidRDefault="0006682E" w:rsidP="00DB6217">
            <w:pPr>
              <w:pStyle w:val="KeinLeerraum"/>
              <w:jc w:val="both"/>
              <w:rPr>
                <w:b/>
              </w:rPr>
            </w:pPr>
            <w:r>
              <w:rPr>
                <w:b/>
              </w:rPr>
              <w:t>3.</w:t>
            </w:r>
            <w:r w:rsidR="007315DD">
              <w:rPr>
                <w:b/>
              </w:rPr>
              <w:t xml:space="preserve">1.3 </w:t>
            </w:r>
            <w:r w:rsidR="00F50F21">
              <w:rPr>
                <w:b/>
              </w:rPr>
              <w:t xml:space="preserve">Adaptierung der Bauordnung zur verstärkten Nutzung von erneuerbarer Energie: </w:t>
            </w:r>
          </w:p>
          <w:p w14:paraId="006DC0C5" w14:textId="72C7DC1B" w:rsidR="00F50F21" w:rsidRDefault="00F50F21" w:rsidP="00DB6217">
            <w:pPr>
              <w:pStyle w:val="KeinLeerraum"/>
              <w:jc w:val="both"/>
            </w:pPr>
            <w:r w:rsidRPr="00770836">
              <w:t xml:space="preserve">Erstellung von verbindlichen Vorgaben zur </w:t>
            </w:r>
            <w:r>
              <w:t>Errichtung und Nutzung</w:t>
            </w:r>
            <w:r w:rsidRPr="00770836">
              <w:t xml:space="preserve"> von Photovoltaik</w:t>
            </w:r>
            <w:r>
              <w:t xml:space="preserve"> entsprechend den nationalen Erzeugungsnotwendigkeiten (</w:t>
            </w:r>
            <w:r w:rsidRPr="009B3604">
              <w:rPr>
                <w:i/>
              </w:rPr>
              <w:t>Effortsharing</w:t>
            </w:r>
            <w:r>
              <w:t xml:space="preserve">) </w:t>
            </w:r>
            <w:r w:rsidRPr="00770836">
              <w:t xml:space="preserve">bei Neubau und Sanierung; </w:t>
            </w:r>
            <w:r>
              <w:t xml:space="preserve">Festlegung </w:t>
            </w:r>
            <w:r w:rsidRPr="00770836">
              <w:t>von Mindestanforderungen in d</w:t>
            </w:r>
            <w:r>
              <w:t>en</w:t>
            </w:r>
            <w:r w:rsidR="00A2605C">
              <w:t xml:space="preserve"> OIB-</w:t>
            </w:r>
            <w:r w:rsidRPr="00770836">
              <w:t>Richtlinien</w:t>
            </w:r>
            <w:r>
              <w:t xml:space="preserve"> ohne Größenbeschränkung (inkl. Eigenheimen und öffentlichen Gebäuden)</w:t>
            </w:r>
            <w:r w:rsidRPr="00770836">
              <w:t>; Höhere Mindestanfor</w:t>
            </w:r>
            <w:r>
              <w:t>derungen bei geförderten Bauten; Rasche Verschärfung der CO</w:t>
            </w:r>
            <w:r w:rsidRPr="00770836">
              <w:rPr>
                <w:vertAlign w:val="subscript"/>
              </w:rPr>
              <w:t>2</w:t>
            </w:r>
            <w:r>
              <w:t xml:space="preserve">-Grenzwerte bei fossilen Systemen </w:t>
            </w:r>
          </w:p>
          <w:p w14:paraId="6B1E5DED" w14:textId="77777777" w:rsidR="00F50F21" w:rsidRPr="00F44A0E" w:rsidRDefault="00F50F21" w:rsidP="00DB6217">
            <w:pPr>
              <w:pStyle w:val="KeinLeerraum"/>
              <w:jc w:val="both"/>
              <w:rPr>
                <w:b/>
                <w:highlight w:val="yellow"/>
              </w:rPr>
            </w:pPr>
          </w:p>
          <w:p w14:paraId="070643CA" w14:textId="51E46E73" w:rsidR="00F50F21" w:rsidRPr="00F44A0E" w:rsidRDefault="0006682E" w:rsidP="00DB6217">
            <w:pPr>
              <w:pStyle w:val="KeinLeerraum"/>
              <w:jc w:val="both"/>
              <w:rPr>
                <w:b/>
              </w:rPr>
            </w:pPr>
            <w:r>
              <w:rPr>
                <w:b/>
              </w:rPr>
              <w:t>3.</w:t>
            </w:r>
            <w:r w:rsidR="007315DD">
              <w:rPr>
                <w:b/>
              </w:rPr>
              <w:t xml:space="preserve">1.4 </w:t>
            </w:r>
            <w:r w:rsidR="00F50F21" w:rsidRPr="00F44A0E">
              <w:rPr>
                <w:b/>
              </w:rPr>
              <w:t xml:space="preserve">Heizlast-, Wärmebedarfs- und Energieausweisberechnung: </w:t>
            </w:r>
          </w:p>
          <w:p w14:paraId="4C4B311D" w14:textId="6650C846" w:rsidR="006E4327" w:rsidRDefault="00F50F21" w:rsidP="00DB6217">
            <w:pPr>
              <w:pStyle w:val="KeinLeerraum"/>
              <w:jc w:val="both"/>
            </w:pPr>
            <w:r w:rsidRPr="00F44A0E">
              <w:t>Aufnahme der Speicherfähigkeit von Bauteilen in der ÖNORM EN 12831 (Verfahren zur Berechnung von Norm-Wärmeverluste</w:t>
            </w:r>
            <w:r w:rsidR="004F4B7F">
              <w:t>n</w:t>
            </w:r>
            <w:r w:rsidRPr="00F44A0E">
              <w:t xml:space="preserve"> und Norm-Heizlast) und der ÖNORM H 7500-1 (Verfahren zur Berechnung der Norm-Heizlast) und im Energieausweis</w:t>
            </w:r>
            <w:r w:rsidR="00A2605C">
              <w:t>; Festlegung des best</w:t>
            </w:r>
            <w:r w:rsidR="006E4327">
              <w:t>möglichen Standards im Energieausweis im Bereich der Sanierung und Althauserneuerung</w:t>
            </w:r>
          </w:p>
          <w:p w14:paraId="154C1C5B" w14:textId="77777777" w:rsidR="00F50F21" w:rsidRDefault="00F50F21" w:rsidP="006F0C49">
            <w:pPr>
              <w:rPr>
                <w:rFonts w:ascii="Lucida Grande" w:hAnsi="Lucida Grande" w:cs="Lucida Grande"/>
                <w:sz w:val="18"/>
                <w:szCs w:val="18"/>
              </w:rPr>
            </w:pPr>
          </w:p>
        </w:tc>
      </w:tr>
      <w:tr w:rsidR="00F50F21" w14:paraId="4D8A30E5" w14:textId="77777777" w:rsidTr="00F54420">
        <w:tc>
          <w:tcPr>
            <w:tcW w:w="9174" w:type="dxa"/>
            <w:shd w:val="clear" w:color="auto" w:fill="4E5C76"/>
          </w:tcPr>
          <w:p w14:paraId="2B93C00B" w14:textId="4BCFD9AF" w:rsidR="00F50F21" w:rsidRPr="00B65FA6" w:rsidRDefault="00886653" w:rsidP="00F50F2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</w:t>
            </w:r>
          </w:p>
          <w:p w14:paraId="2154CEB1" w14:textId="30C2802F" w:rsidR="00F50F21" w:rsidRDefault="00F50F21" w:rsidP="00F50F21">
            <w:r>
              <w:rPr>
                <w:color w:val="FFFFFF" w:themeColor="background1"/>
              </w:rPr>
              <w:t>ANREIZSYSTEME</w:t>
            </w:r>
          </w:p>
        </w:tc>
      </w:tr>
      <w:tr w:rsidR="00782604" w14:paraId="6E8727AC" w14:textId="77777777" w:rsidTr="00F54420">
        <w:tc>
          <w:tcPr>
            <w:tcW w:w="9174" w:type="dxa"/>
            <w:tcBorders>
              <w:bottom w:val="single" w:sz="4" w:space="0" w:color="BFBFBF" w:themeColor="background1" w:themeShade="BF"/>
            </w:tcBorders>
          </w:tcPr>
          <w:p w14:paraId="38641FA9" w14:textId="77777777" w:rsidR="00782604" w:rsidRDefault="00782604" w:rsidP="00782604">
            <w:pPr>
              <w:pStyle w:val="KeinLeerraum"/>
              <w:jc w:val="both"/>
              <w:rPr>
                <w:b/>
              </w:rPr>
            </w:pPr>
          </w:p>
          <w:p w14:paraId="0282B885" w14:textId="77777777" w:rsidR="00782604" w:rsidRPr="0096264B" w:rsidRDefault="00782604" w:rsidP="00782604">
            <w:pPr>
              <w:pStyle w:val="KeinLeerraum"/>
              <w:jc w:val="both"/>
              <w:rPr>
                <w:b/>
              </w:rPr>
            </w:pPr>
            <w:r>
              <w:rPr>
                <w:b/>
              </w:rPr>
              <w:t xml:space="preserve">3.2.1 </w:t>
            </w:r>
            <w:r w:rsidRPr="0096264B">
              <w:rPr>
                <w:b/>
              </w:rPr>
              <w:t xml:space="preserve">Bundesweite </w:t>
            </w:r>
            <w:r>
              <w:rPr>
                <w:b/>
              </w:rPr>
              <w:t>Harmonisierung der Fördersysteme für erneuerbare Energiesysteme</w:t>
            </w:r>
            <w:r w:rsidRPr="0096264B">
              <w:rPr>
                <w:b/>
              </w:rPr>
              <w:t xml:space="preserve">: </w:t>
            </w:r>
          </w:p>
          <w:p w14:paraId="6BED7F7C" w14:textId="77777777" w:rsidR="00782604" w:rsidRDefault="00782604" w:rsidP="00782604">
            <w:pPr>
              <w:pStyle w:val="KeinLeerraum"/>
              <w:jc w:val="both"/>
            </w:pPr>
            <w:r>
              <w:t xml:space="preserve">Einheitliche Förderungen für erneuerbare Energietechnologien; Vereinheitlichung von Fördervoraussetzungen und Richtlinien, Förderhöhen, Fristen und Tarifen; Implementierung einer zentralen Förderstelle zur Abwicklung; Zusätzliche Förderungen für gebäudeintegrierte Systeme </w:t>
            </w:r>
          </w:p>
          <w:p w14:paraId="1140A898" w14:textId="77777777" w:rsidR="00782604" w:rsidRDefault="00782604" w:rsidP="00782604">
            <w:pPr>
              <w:pStyle w:val="KeinLeerraum"/>
              <w:jc w:val="both"/>
            </w:pPr>
          </w:p>
          <w:p w14:paraId="789092E0" w14:textId="77777777" w:rsidR="00782604" w:rsidRPr="004C392A" w:rsidRDefault="00782604" w:rsidP="00782604">
            <w:pPr>
              <w:pStyle w:val="KeinLeerraum"/>
              <w:jc w:val="both"/>
              <w:rPr>
                <w:b/>
              </w:rPr>
            </w:pPr>
            <w:r>
              <w:rPr>
                <w:b/>
              </w:rPr>
              <w:t xml:space="preserve">3.2.2 </w:t>
            </w:r>
            <w:r w:rsidRPr="004C392A">
              <w:rPr>
                <w:b/>
              </w:rPr>
              <w:t>Bauwerkintegrierte Photovoltaik (BIP</w:t>
            </w:r>
            <w:r>
              <w:rPr>
                <w:b/>
              </w:rPr>
              <w:t>V) im Rahmen des 100.000 Dächer-</w:t>
            </w:r>
            <w:r w:rsidRPr="004C392A">
              <w:rPr>
                <w:b/>
              </w:rPr>
              <w:t>Programms fördern</w:t>
            </w:r>
            <w:r>
              <w:rPr>
                <w:b/>
              </w:rPr>
              <w:t>:</w:t>
            </w:r>
            <w:r w:rsidRPr="004C392A">
              <w:rPr>
                <w:b/>
              </w:rPr>
              <w:t xml:space="preserve"> </w:t>
            </w:r>
          </w:p>
          <w:p w14:paraId="5D5F9C66" w14:textId="77777777" w:rsidR="00782604" w:rsidRDefault="00782604" w:rsidP="00782604">
            <w:pPr>
              <w:pStyle w:val="KeinLeerraum"/>
              <w:jc w:val="both"/>
            </w:pPr>
            <w:r w:rsidRPr="004C392A">
              <w:t>Errichtung und langfristiges Monitoring von 1.000 BIPV Demonstratoren</w:t>
            </w:r>
            <w:r>
              <w:t>; Darstellu</w:t>
            </w:r>
            <w:r w:rsidRPr="004C392A">
              <w:t xml:space="preserve">ng </w:t>
            </w:r>
            <w:r>
              <w:t xml:space="preserve">von ambitionierten Lösungen durch </w:t>
            </w:r>
            <w:r w:rsidRPr="004C392A">
              <w:t xml:space="preserve">architektonische </w:t>
            </w:r>
            <w:r>
              <w:t>und systemtechnische</w:t>
            </w:r>
            <w:r w:rsidRPr="004C392A">
              <w:t xml:space="preserve"> Integration in das lokale Energiesystem </w:t>
            </w:r>
          </w:p>
          <w:p w14:paraId="37FFED04" w14:textId="77777777" w:rsidR="00782604" w:rsidRDefault="00782604" w:rsidP="00782604">
            <w:pPr>
              <w:pStyle w:val="KeinLeerraum"/>
              <w:jc w:val="both"/>
            </w:pPr>
          </w:p>
          <w:p w14:paraId="703484DF" w14:textId="77777777" w:rsidR="00782604" w:rsidRPr="00770836" w:rsidRDefault="00782604" w:rsidP="00782604">
            <w:pPr>
              <w:pStyle w:val="KeinLeerraum"/>
              <w:jc w:val="both"/>
              <w:rPr>
                <w:b/>
              </w:rPr>
            </w:pPr>
            <w:r>
              <w:rPr>
                <w:b/>
              </w:rPr>
              <w:t xml:space="preserve">3.2.3 </w:t>
            </w:r>
            <w:r w:rsidRPr="00770836">
              <w:rPr>
                <w:b/>
              </w:rPr>
              <w:t>Anwendung von Energiecontracting in Mietwohnungen</w:t>
            </w:r>
            <w:r>
              <w:rPr>
                <w:b/>
              </w:rPr>
              <w:t>:</w:t>
            </w:r>
            <w:r w:rsidRPr="00770836">
              <w:rPr>
                <w:b/>
              </w:rPr>
              <w:t xml:space="preserve"> </w:t>
            </w:r>
          </w:p>
          <w:p w14:paraId="29DA57B9" w14:textId="77777777" w:rsidR="00782604" w:rsidRPr="00770836" w:rsidRDefault="00782604" w:rsidP="00782604">
            <w:pPr>
              <w:pStyle w:val="KeinLeerraum"/>
              <w:jc w:val="both"/>
            </w:pPr>
            <w:r w:rsidRPr="00770836">
              <w:t xml:space="preserve">Implementierung von Regelungen für die </w:t>
            </w:r>
            <w:r>
              <w:t>Investition</w:t>
            </w:r>
            <w:r w:rsidRPr="00770836">
              <w:t xml:space="preserve"> von eingesparten Energiekosten für die Refinanzierung von energieeffizienten Sanierungen (Einsparfinanzierung / Contracting) </w:t>
            </w:r>
          </w:p>
          <w:p w14:paraId="64821C5E" w14:textId="77777777" w:rsidR="00782604" w:rsidRPr="006F0C49" w:rsidRDefault="00782604" w:rsidP="00F50F21">
            <w:pPr>
              <w:pStyle w:val="KeinLeerraum"/>
              <w:rPr>
                <w:color w:val="3366FF"/>
              </w:rPr>
            </w:pPr>
          </w:p>
        </w:tc>
      </w:tr>
    </w:tbl>
    <w:p w14:paraId="4D01D340" w14:textId="77777777" w:rsidR="00104022" w:rsidRDefault="00104022">
      <w:r>
        <w:br w:type="page"/>
      </w:r>
    </w:p>
    <w:tbl>
      <w:tblPr>
        <w:tblStyle w:val="Tabellenraster"/>
        <w:tblW w:w="0" w:type="auto"/>
        <w:tblInd w:w="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74"/>
      </w:tblGrid>
      <w:tr w:rsidR="00F50F21" w14:paraId="2F0C2E8F" w14:textId="77777777" w:rsidTr="00F54420">
        <w:tc>
          <w:tcPr>
            <w:tcW w:w="9174" w:type="dxa"/>
            <w:tcBorders>
              <w:left w:val="nil"/>
              <w:bottom w:val="nil"/>
              <w:right w:val="nil"/>
            </w:tcBorders>
          </w:tcPr>
          <w:p w14:paraId="061B6339" w14:textId="0C4EFB0D" w:rsidR="00A2605C" w:rsidRDefault="00A2605C" w:rsidP="00F50F21">
            <w:pPr>
              <w:pStyle w:val="KeinLeerraum"/>
              <w:rPr>
                <w:color w:val="FFFFFF" w:themeColor="background1"/>
              </w:rPr>
            </w:pPr>
          </w:p>
          <w:p w14:paraId="1DB08544" w14:textId="77777777" w:rsidR="00A2605C" w:rsidRDefault="00A2605C" w:rsidP="00F50F21">
            <w:pPr>
              <w:pStyle w:val="KeinLeerraum"/>
              <w:rPr>
                <w:color w:val="FFFFFF" w:themeColor="background1"/>
              </w:rPr>
            </w:pPr>
          </w:p>
          <w:p w14:paraId="3CDAC033" w14:textId="77777777" w:rsidR="00A2605C" w:rsidRDefault="00A2605C" w:rsidP="00F50F21">
            <w:pPr>
              <w:pStyle w:val="KeinLeerraum"/>
              <w:rPr>
                <w:color w:val="FFFFFF" w:themeColor="background1"/>
              </w:rPr>
            </w:pPr>
          </w:p>
        </w:tc>
      </w:tr>
      <w:tr w:rsidR="00F50F21" w14:paraId="590E43A1" w14:textId="77777777" w:rsidTr="00F54420">
        <w:tc>
          <w:tcPr>
            <w:tcW w:w="9174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4E5C76"/>
          </w:tcPr>
          <w:p w14:paraId="1ED9ABC9" w14:textId="2364D4C1" w:rsidR="00F50F21" w:rsidRPr="00B65FA6" w:rsidRDefault="00886653" w:rsidP="00F50F2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</w:t>
            </w:r>
          </w:p>
          <w:p w14:paraId="1FA005E1" w14:textId="69C0E221" w:rsidR="00F50F21" w:rsidRDefault="00F50F21" w:rsidP="00F50F21">
            <w:r>
              <w:rPr>
                <w:color w:val="FFFFFF" w:themeColor="background1"/>
              </w:rPr>
              <w:t>BEGLEITMASSNAHMEN</w:t>
            </w:r>
          </w:p>
        </w:tc>
      </w:tr>
      <w:tr w:rsidR="00F50F21" w14:paraId="088DBBD2" w14:textId="77777777" w:rsidTr="00F54420">
        <w:tc>
          <w:tcPr>
            <w:tcW w:w="9174" w:type="dxa"/>
            <w:shd w:val="clear" w:color="auto" w:fill="auto"/>
          </w:tcPr>
          <w:p w14:paraId="4B9AA932" w14:textId="77777777" w:rsidR="00F50F21" w:rsidRDefault="00F50F21" w:rsidP="00F50F21">
            <w:pPr>
              <w:pStyle w:val="KeinLeerraum"/>
            </w:pPr>
          </w:p>
          <w:p w14:paraId="0759B909" w14:textId="30BC4C0A" w:rsidR="00F50F21" w:rsidRPr="00426E8D" w:rsidRDefault="0006682E" w:rsidP="00DB6217">
            <w:pPr>
              <w:pStyle w:val="KeinLeerraum"/>
              <w:jc w:val="both"/>
              <w:rPr>
                <w:b/>
              </w:rPr>
            </w:pPr>
            <w:r w:rsidRPr="00EE40C4">
              <w:rPr>
                <w:b/>
              </w:rPr>
              <w:t>3.</w:t>
            </w:r>
            <w:r w:rsidR="007315DD" w:rsidRPr="00EE40C4">
              <w:rPr>
                <w:b/>
              </w:rPr>
              <w:t>3.1</w:t>
            </w:r>
            <w:r w:rsidR="007315DD">
              <w:rPr>
                <w:b/>
                <w:i/>
              </w:rPr>
              <w:t xml:space="preserve"> </w:t>
            </w:r>
            <w:r w:rsidR="00F50F21" w:rsidRPr="00271DB9">
              <w:rPr>
                <w:b/>
                <w:i/>
              </w:rPr>
              <w:t>Effortsharing</w:t>
            </w:r>
            <w:r w:rsidR="00F50F21">
              <w:rPr>
                <w:b/>
              </w:rPr>
              <w:t xml:space="preserve"> </w:t>
            </w:r>
            <w:r w:rsidR="00F50F21" w:rsidRPr="00426E8D">
              <w:rPr>
                <w:b/>
              </w:rPr>
              <w:t>erneuerbare Energie</w:t>
            </w:r>
            <w:r w:rsidR="00F50F21">
              <w:rPr>
                <w:b/>
              </w:rPr>
              <w:t xml:space="preserve">n: </w:t>
            </w:r>
          </w:p>
          <w:p w14:paraId="181C47E4" w14:textId="294D93B0" w:rsidR="00F50F21" w:rsidRDefault="00F50F21" w:rsidP="00DB6217">
            <w:pPr>
              <w:pStyle w:val="KeinLeerraum"/>
              <w:jc w:val="both"/>
            </w:pPr>
            <w:r>
              <w:t>Entscheidung auf Basis vorhandener bzw. noch durchzuführender wissenschaftlicher Studien, wie d</w:t>
            </w:r>
            <w:r w:rsidR="008E329D">
              <w:t>as</w:t>
            </w:r>
            <w:r>
              <w:t xml:space="preserve"> Gesamterfordernis der jährlichen Produktion von 100% erneuerbarer Energie 2050 zu verteilen ist, d.h. wie viel kWh Strom oder Wärme pro m² Bauland (unabhängig</w:t>
            </w:r>
            <w:r w:rsidR="008E329D">
              <w:t>,</w:t>
            </w:r>
            <w:r>
              <w:t xml:space="preserve"> ob b</w:t>
            </w:r>
            <w:r w:rsidR="009A300F">
              <w:t>ebaut oder nicht)</w:t>
            </w:r>
            <w:r>
              <w:t xml:space="preserve">, pro Nutzungskategorie </w:t>
            </w:r>
            <w:r w:rsidR="009A300F">
              <w:t>oder Bruttogeschoßfläche (BGF) ö</w:t>
            </w:r>
            <w:r>
              <w:t xml:space="preserve">sterreichweit zu </w:t>
            </w:r>
            <w:r w:rsidR="00D56518">
              <w:t>erzielen</w:t>
            </w:r>
            <w:r>
              <w:t xml:space="preserve"> ist, damit 100% in 2050 erreicht sind</w:t>
            </w:r>
          </w:p>
          <w:p w14:paraId="0FFEC375" w14:textId="77777777" w:rsidR="00F50F21" w:rsidRDefault="00F50F21" w:rsidP="00DB6217">
            <w:pPr>
              <w:pStyle w:val="KeinLeerraum"/>
              <w:jc w:val="both"/>
            </w:pPr>
          </w:p>
          <w:p w14:paraId="0BEFF07C" w14:textId="7944FEB2" w:rsidR="005A2C40" w:rsidRDefault="0006682E" w:rsidP="00DB6217">
            <w:pPr>
              <w:pStyle w:val="KeinLeerraum"/>
              <w:jc w:val="both"/>
              <w:rPr>
                <w:b/>
              </w:rPr>
            </w:pPr>
            <w:r>
              <w:rPr>
                <w:b/>
              </w:rPr>
              <w:t>3.</w:t>
            </w:r>
            <w:r w:rsidR="007315DD">
              <w:rPr>
                <w:b/>
              </w:rPr>
              <w:t xml:space="preserve">3.2 </w:t>
            </w:r>
            <w:r w:rsidR="005A2C40" w:rsidRPr="005A2C40">
              <w:rPr>
                <w:b/>
              </w:rPr>
              <w:t>Österreichweiter, spartenübergreifender Poten</w:t>
            </w:r>
            <w:r w:rsidR="005A2C40">
              <w:rPr>
                <w:b/>
              </w:rPr>
              <w:t>t</w:t>
            </w:r>
            <w:r w:rsidR="005A2C40" w:rsidRPr="005A2C40">
              <w:rPr>
                <w:b/>
              </w:rPr>
              <w:t>ialkataster erneuerbare Energie</w:t>
            </w:r>
            <w:r w:rsidR="00023D75">
              <w:rPr>
                <w:b/>
              </w:rPr>
              <w:t>:</w:t>
            </w:r>
          </w:p>
          <w:p w14:paraId="0EE98856" w14:textId="5D3D6100" w:rsidR="005A2C40" w:rsidRDefault="005A2C40" w:rsidP="00DB6217">
            <w:pPr>
              <w:pStyle w:val="KeinLeerraum"/>
              <w:jc w:val="both"/>
            </w:pPr>
            <w:r w:rsidRPr="005A2C40">
              <w:t>Barrierefrei zugänglicher österreichweite</w:t>
            </w:r>
            <w:r>
              <w:t xml:space="preserve">r Potentialkataster für erneuerbare Energien (Sonne, Geothermie, Biomasse, Wasserkraft, Wind) um die Verfügbarkeit der Information über die Möglichkeit erneuerbarer Energienutzung zu erhöhen </w:t>
            </w:r>
          </w:p>
          <w:p w14:paraId="30200311" w14:textId="77777777" w:rsidR="005A2C40" w:rsidRPr="005A2C40" w:rsidRDefault="005A2C40" w:rsidP="00DB6217">
            <w:pPr>
              <w:pStyle w:val="KeinLeerraum"/>
              <w:jc w:val="both"/>
            </w:pPr>
          </w:p>
          <w:p w14:paraId="3B9D19E0" w14:textId="4F31EEEE" w:rsidR="00F50F21" w:rsidRDefault="0006682E" w:rsidP="00DB6217">
            <w:pPr>
              <w:pStyle w:val="KeinLeerraum"/>
              <w:jc w:val="both"/>
              <w:rPr>
                <w:b/>
              </w:rPr>
            </w:pPr>
            <w:r>
              <w:rPr>
                <w:b/>
              </w:rPr>
              <w:t>3.</w:t>
            </w:r>
            <w:r w:rsidR="007315DD">
              <w:rPr>
                <w:b/>
              </w:rPr>
              <w:t xml:space="preserve">3.3 </w:t>
            </w:r>
            <w:r w:rsidR="00F50F21" w:rsidRPr="001B2873">
              <w:rPr>
                <w:b/>
              </w:rPr>
              <w:t xml:space="preserve">Entwicklung von neuen Geschäftsmodellen im Bereich der </w:t>
            </w:r>
            <w:r w:rsidR="00F50F21">
              <w:rPr>
                <w:b/>
              </w:rPr>
              <w:t>m</w:t>
            </w:r>
            <w:r w:rsidR="00F50F21" w:rsidRPr="001B2873">
              <w:rPr>
                <w:b/>
              </w:rPr>
              <w:t>ultifunktionalen Gebäude</w:t>
            </w:r>
            <w:r w:rsidR="00F50F21">
              <w:rPr>
                <w:b/>
              </w:rPr>
              <w:t>:</w:t>
            </w:r>
          </w:p>
          <w:p w14:paraId="74E45C7A" w14:textId="110B00AC" w:rsidR="005A2C40" w:rsidRDefault="00F50F21" w:rsidP="00DB6217">
            <w:pPr>
              <w:pStyle w:val="KeinLeerraum"/>
              <w:jc w:val="both"/>
            </w:pPr>
            <w:r>
              <w:t>Analyse und Darstellung von möglichen Geschäfts- und Finanzierungsvarianten für die verstärkte Nutzung von standortübergreifenden Energielösungen und räumlichen und zeitlichen Lastverschiebungen bei Gebäuden (z.B. Verkauf von thermischer oder elektrischer Energie; Nutzung von Gebäudeflächen zur Energiegewinnung; Energiespeicherung)</w:t>
            </w:r>
          </w:p>
          <w:p w14:paraId="3190515A" w14:textId="326609D5" w:rsidR="00F50F21" w:rsidRPr="00397E62" w:rsidRDefault="00F50F21" w:rsidP="005A2C40">
            <w:pPr>
              <w:pStyle w:val="KeinLeerraum"/>
            </w:pPr>
          </w:p>
        </w:tc>
      </w:tr>
    </w:tbl>
    <w:p w14:paraId="17F5322F" w14:textId="5880AD63" w:rsidR="00A2605C" w:rsidRDefault="00A2605C">
      <w:pPr>
        <w:rPr>
          <w:sz w:val="32"/>
          <w:szCs w:val="32"/>
        </w:rPr>
      </w:pPr>
    </w:p>
    <w:p w14:paraId="5B88947E" w14:textId="77777777" w:rsidR="00A2605C" w:rsidRDefault="00A2605C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0FD893E9" w14:textId="6E42B2DF" w:rsidR="00024B83" w:rsidRDefault="00886653">
      <w:r>
        <w:rPr>
          <w:sz w:val="32"/>
          <w:szCs w:val="32"/>
        </w:rPr>
        <w:t xml:space="preserve">4 </w:t>
      </w:r>
      <w:r w:rsidR="00024B83" w:rsidRPr="0070311C">
        <w:rPr>
          <w:sz w:val="32"/>
          <w:szCs w:val="32"/>
        </w:rPr>
        <w:t>ROHSTOFFE, LEBENSZYKLUS UND KREISLAUFWIRTSCHAFT</w:t>
      </w: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0D7626" w14:paraId="47A63F6A" w14:textId="77777777" w:rsidTr="00E535E2">
        <w:tc>
          <w:tcPr>
            <w:tcW w:w="9212" w:type="dxa"/>
            <w:shd w:val="clear" w:color="auto" w:fill="9A997C"/>
          </w:tcPr>
          <w:p w14:paraId="7B93F828" w14:textId="7BB2DB20" w:rsidR="00E535E2" w:rsidRPr="00B65FA6" w:rsidRDefault="00886653" w:rsidP="00B249E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</w:t>
            </w:r>
          </w:p>
          <w:p w14:paraId="07865637" w14:textId="724E74B2" w:rsidR="000D7626" w:rsidRDefault="000D7626">
            <w:r>
              <w:rPr>
                <w:color w:val="FFFFFF" w:themeColor="background1"/>
              </w:rPr>
              <w:t>REGULATIVE MASSNAHMEN</w:t>
            </w:r>
          </w:p>
        </w:tc>
      </w:tr>
      <w:tr w:rsidR="000D7626" w14:paraId="37A8CDCB" w14:textId="77777777" w:rsidTr="00E535E2">
        <w:tc>
          <w:tcPr>
            <w:tcW w:w="9212" w:type="dxa"/>
          </w:tcPr>
          <w:p w14:paraId="2BF79018" w14:textId="56D474BD" w:rsidR="009C124F" w:rsidRDefault="009C124F" w:rsidP="00A325E6">
            <w:pPr>
              <w:pStyle w:val="KeinLeerraum"/>
            </w:pPr>
          </w:p>
          <w:p w14:paraId="26F1C3B2" w14:textId="46DFCFD1" w:rsidR="00F50F21" w:rsidRDefault="0006682E" w:rsidP="00DB6217">
            <w:pPr>
              <w:pStyle w:val="KeinLeerraum"/>
              <w:jc w:val="both"/>
              <w:rPr>
                <w:b/>
              </w:rPr>
            </w:pPr>
            <w:r>
              <w:rPr>
                <w:b/>
              </w:rPr>
              <w:t>4.</w:t>
            </w:r>
            <w:r w:rsidR="007315DD">
              <w:rPr>
                <w:b/>
              </w:rPr>
              <w:t xml:space="preserve">1.1 </w:t>
            </w:r>
            <w:r w:rsidR="00F50F21" w:rsidRPr="006F0C49">
              <w:rPr>
                <w:b/>
              </w:rPr>
              <w:t xml:space="preserve">Verpflichtende </w:t>
            </w:r>
            <w:r w:rsidR="00F50F21">
              <w:rPr>
                <w:b/>
              </w:rPr>
              <w:t xml:space="preserve">lebenszyklische </w:t>
            </w:r>
            <w:r w:rsidR="00F50F21" w:rsidRPr="006F0C49">
              <w:rPr>
                <w:b/>
              </w:rPr>
              <w:t xml:space="preserve">Anpassung </w:t>
            </w:r>
            <w:r w:rsidR="00F50F21">
              <w:rPr>
                <w:b/>
              </w:rPr>
              <w:t xml:space="preserve">von Gebäuden </w:t>
            </w:r>
            <w:r w:rsidR="00F50F21" w:rsidRPr="006F0C49">
              <w:rPr>
                <w:b/>
              </w:rPr>
              <w:t>an de</w:t>
            </w:r>
            <w:r w:rsidR="00F50F21">
              <w:rPr>
                <w:b/>
              </w:rPr>
              <w:t>n</w:t>
            </w:r>
            <w:r w:rsidR="00F50F21" w:rsidRPr="006F0C49">
              <w:rPr>
                <w:b/>
              </w:rPr>
              <w:t xml:space="preserve"> Stand der Technik</w:t>
            </w:r>
            <w:r w:rsidR="00F50F21">
              <w:rPr>
                <w:b/>
              </w:rPr>
              <w:t>:</w:t>
            </w:r>
          </w:p>
          <w:p w14:paraId="0885AC22" w14:textId="5D728452" w:rsidR="0006682E" w:rsidRDefault="00F50F21" w:rsidP="00DB6217">
            <w:pPr>
              <w:pStyle w:val="KeinLeerraum"/>
              <w:jc w:val="both"/>
            </w:pPr>
            <w:r>
              <w:t xml:space="preserve">Verpflichtende lebenszyklische Anpassung von Gebäuden an den Stand der Technik (lebenszyklische Werthaltung) unabhängig von baulichen Änderungsvorhaben, soweit volkswirtschaftlich relevante Auswirkungen wie </w:t>
            </w:r>
            <w:r w:rsidR="00D56518">
              <w:t xml:space="preserve">der </w:t>
            </w:r>
            <w:r>
              <w:t>Klimaschutz betroffen sind</w:t>
            </w:r>
          </w:p>
          <w:p w14:paraId="4B255122" w14:textId="77777777" w:rsidR="0006682E" w:rsidRDefault="0006682E" w:rsidP="00DB6217">
            <w:pPr>
              <w:pStyle w:val="KeinLeerraum"/>
              <w:jc w:val="both"/>
            </w:pPr>
          </w:p>
          <w:p w14:paraId="4FCA3840" w14:textId="4F8D075D" w:rsidR="0006682E" w:rsidRPr="00884C32" w:rsidRDefault="0006682E" w:rsidP="00DB6217">
            <w:pPr>
              <w:jc w:val="both"/>
              <w:rPr>
                <w:b/>
              </w:rPr>
            </w:pPr>
            <w:r>
              <w:rPr>
                <w:b/>
              </w:rPr>
              <w:t>4.1.2 Energieb</w:t>
            </w:r>
            <w:r w:rsidRPr="00884C32">
              <w:rPr>
                <w:b/>
              </w:rPr>
              <w:t>edarfsreduktion vor Erzeugung über den Lebenszyklus</w:t>
            </w:r>
            <w:r>
              <w:rPr>
                <w:b/>
              </w:rPr>
              <w:t xml:space="preserve">: </w:t>
            </w:r>
          </w:p>
          <w:p w14:paraId="1BDCBDDA" w14:textId="2027928B" w:rsidR="0006682E" w:rsidRPr="00884C32" w:rsidRDefault="0006682E" w:rsidP="00DB6217">
            <w:pPr>
              <w:jc w:val="both"/>
            </w:pPr>
            <w:r w:rsidRPr="00884C32">
              <w:t xml:space="preserve">Klare Priorisierung der Minimierung des primärenergetischen Gesamtaufwandes über den Lebenszyklus </w:t>
            </w:r>
            <w:r>
              <w:t xml:space="preserve">für Neubau und Sanierung </w:t>
            </w:r>
            <w:r w:rsidRPr="00884C32">
              <w:t>vor der komp</w:t>
            </w:r>
            <w:r w:rsidR="009A300F">
              <w:t>ensierenden Mehrerzeugung von e</w:t>
            </w:r>
            <w:r w:rsidRPr="00884C32">
              <w:t xml:space="preserve">rneuerbarer Energie </w:t>
            </w:r>
          </w:p>
          <w:p w14:paraId="05339542" w14:textId="13346835" w:rsidR="00F50F21" w:rsidRDefault="00F50F21" w:rsidP="00DB6217">
            <w:pPr>
              <w:pStyle w:val="KeinLeerraum"/>
              <w:jc w:val="both"/>
              <w:rPr>
                <w:b/>
              </w:rPr>
            </w:pPr>
          </w:p>
          <w:p w14:paraId="7F0A4238" w14:textId="70605BF7" w:rsidR="009C124F" w:rsidRPr="001C032D" w:rsidRDefault="0006682E" w:rsidP="00DB6217">
            <w:pPr>
              <w:pStyle w:val="KeinLeerraum"/>
              <w:jc w:val="both"/>
              <w:rPr>
                <w:b/>
              </w:rPr>
            </w:pPr>
            <w:r>
              <w:rPr>
                <w:b/>
              </w:rPr>
              <w:t xml:space="preserve">4.1.3 </w:t>
            </w:r>
            <w:r w:rsidR="009C124F" w:rsidRPr="001C032D">
              <w:rPr>
                <w:b/>
              </w:rPr>
              <w:t>Erhöhung des ökologischen Standards von Bauprodukten:</w:t>
            </w:r>
          </w:p>
          <w:p w14:paraId="479B4D76" w14:textId="5C8E8694" w:rsidR="009C124F" w:rsidRDefault="009C124F" w:rsidP="00DB6217">
            <w:pPr>
              <w:pStyle w:val="KeinLeerraum"/>
              <w:jc w:val="both"/>
            </w:pPr>
            <w:r>
              <w:t xml:space="preserve">Implementierung der seit 5 Jahren verbindlichen Grundanforderung 7 der Bauprodukteverordnung (nachhaltige Nutzung natürlicher Ressourcen: Rezyklierbarkeit, Dauerhaftigkeit, umweltverträgliche Rohstoffe und Sekundärbaustoffe) in </w:t>
            </w:r>
            <w:r w:rsidR="00A864F9">
              <w:t>die OIB-Richtlinien;</w:t>
            </w:r>
            <w:r>
              <w:t xml:space="preserve"> Bindung von Bundes- und Landesförderungen an die Verwendung von Bauprodukten mit Umweltproduktdeklarationen</w:t>
            </w:r>
            <w:r w:rsidR="00A864F9">
              <w:t xml:space="preserve"> (Environmental Product Declarations</w:t>
            </w:r>
            <w:r>
              <w:t>, EPDs)</w:t>
            </w:r>
          </w:p>
          <w:p w14:paraId="7CFCEF6C" w14:textId="77777777" w:rsidR="009C124F" w:rsidRDefault="009C124F" w:rsidP="00DB6217">
            <w:pPr>
              <w:pStyle w:val="KeinLeerraum"/>
              <w:jc w:val="both"/>
            </w:pPr>
          </w:p>
          <w:p w14:paraId="58EDBB0D" w14:textId="3BB50320" w:rsidR="009C124F" w:rsidRPr="00540DC9" w:rsidRDefault="0006682E" w:rsidP="00DB6217">
            <w:pPr>
              <w:pStyle w:val="KeinLeerraum"/>
              <w:jc w:val="both"/>
              <w:rPr>
                <w:b/>
              </w:rPr>
            </w:pPr>
            <w:r>
              <w:rPr>
                <w:b/>
              </w:rPr>
              <w:t xml:space="preserve">4.1.4 </w:t>
            </w:r>
            <w:r w:rsidR="009C124F" w:rsidRPr="00540DC9">
              <w:rPr>
                <w:b/>
              </w:rPr>
              <w:t xml:space="preserve">Vergaberecht: </w:t>
            </w:r>
          </w:p>
          <w:p w14:paraId="6E70093B" w14:textId="77777777" w:rsidR="00884C32" w:rsidRDefault="009C124F" w:rsidP="00DB6217">
            <w:pPr>
              <w:pStyle w:val="KeinLeerraum"/>
              <w:jc w:val="both"/>
            </w:pPr>
            <w:r>
              <w:t xml:space="preserve">Verstärkte Verankerung des Umweltverhaltens von Bauprodukten im Vergaberecht sowie ökologischer Eigenschaften als Zuschlagskriterien bei öffentlichen </w:t>
            </w:r>
            <w:r w:rsidRPr="00426E8D">
              <w:t>Vergaben</w:t>
            </w:r>
            <w:r>
              <w:t xml:space="preserve"> durch die Auftraggeber</w:t>
            </w:r>
          </w:p>
          <w:p w14:paraId="259747C3" w14:textId="7D4C9462" w:rsidR="009C124F" w:rsidRDefault="009C124F" w:rsidP="009C124F">
            <w:pPr>
              <w:rPr>
                <w:color w:val="FFFFFF" w:themeColor="background1"/>
              </w:rPr>
            </w:pPr>
          </w:p>
        </w:tc>
      </w:tr>
      <w:tr w:rsidR="000D7626" w14:paraId="7FF31C48" w14:textId="77777777" w:rsidTr="00E535E2">
        <w:tc>
          <w:tcPr>
            <w:tcW w:w="9212" w:type="dxa"/>
            <w:shd w:val="clear" w:color="auto" w:fill="9A997C"/>
          </w:tcPr>
          <w:p w14:paraId="6497F375" w14:textId="23193D41" w:rsidR="00E535E2" w:rsidRPr="00B65FA6" w:rsidRDefault="00886653" w:rsidP="00E535E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</w:t>
            </w:r>
          </w:p>
          <w:p w14:paraId="4FF187C9" w14:textId="69FC8EAB" w:rsidR="000D7626" w:rsidRDefault="000D7626" w:rsidP="00E535E2">
            <w:r w:rsidRPr="0070311C">
              <w:rPr>
                <w:color w:val="FFFFFF" w:themeColor="background1"/>
              </w:rPr>
              <w:t>ANREIZSYSTEME</w:t>
            </w:r>
          </w:p>
        </w:tc>
      </w:tr>
      <w:tr w:rsidR="000D7626" w14:paraId="15B2A3FA" w14:textId="77777777" w:rsidTr="00E535E2">
        <w:tc>
          <w:tcPr>
            <w:tcW w:w="9212" w:type="dxa"/>
          </w:tcPr>
          <w:p w14:paraId="2A84B066" w14:textId="77777777" w:rsidR="00426E8D" w:rsidRDefault="00426E8D" w:rsidP="00A325E6">
            <w:pPr>
              <w:pStyle w:val="KeinLeerraum"/>
            </w:pPr>
          </w:p>
          <w:p w14:paraId="3CE8CF5A" w14:textId="2A45A7C9" w:rsidR="00B13C5F" w:rsidRPr="004A3996" w:rsidRDefault="0006682E" w:rsidP="00DB6217">
            <w:pPr>
              <w:pStyle w:val="KeinLeerraum"/>
              <w:jc w:val="both"/>
              <w:rPr>
                <w:b/>
              </w:rPr>
            </w:pPr>
            <w:r>
              <w:rPr>
                <w:b/>
              </w:rPr>
              <w:t xml:space="preserve">4.2.1 </w:t>
            </w:r>
            <w:r w:rsidR="00B13C5F" w:rsidRPr="004A3996">
              <w:rPr>
                <w:b/>
              </w:rPr>
              <w:t>Förderungen in Neubau und Sanierung:</w:t>
            </w:r>
          </w:p>
          <w:p w14:paraId="49B19689" w14:textId="46FADC75" w:rsidR="00B13C5F" w:rsidRDefault="00B13C5F" w:rsidP="00DB6217">
            <w:pPr>
              <w:pStyle w:val="KeinLeerraum"/>
              <w:jc w:val="both"/>
            </w:pPr>
            <w:r>
              <w:t>Priorität der Lebenszykluskosten vor den Herstellungskosten bei der Vergabe von Förderungen</w:t>
            </w:r>
            <w:r w:rsidR="00A864F9">
              <w:t>;</w:t>
            </w:r>
            <w:r>
              <w:t xml:space="preserve"> Forcierung des Grundsatzes </w:t>
            </w:r>
            <w:r w:rsidR="00A2605C">
              <w:t>„</w:t>
            </w:r>
            <w:r>
              <w:t>Sanierung vor Neubau</w:t>
            </w:r>
            <w:r w:rsidR="00A2605C">
              <w:t>“</w:t>
            </w:r>
            <w:r w:rsidR="00A864F9">
              <w:t>;</w:t>
            </w:r>
            <w:r>
              <w:t xml:space="preserve"> Entwicklung standardisierter Verfahren zur Ermittlung der Lebenszykluskosten auf Basis vorhandener Rege</w:t>
            </w:r>
            <w:r w:rsidR="00A864F9">
              <w:t>l</w:t>
            </w:r>
            <w:r>
              <w:t>werke (ÖNORMen, EN) ähnlich der ökobaudat.net in Deutschland</w:t>
            </w:r>
          </w:p>
          <w:p w14:paraId="72ED53BE" w14:textId="4D448A04" w:rsidR="000D7626" w:rsidRDefault="000D7626" w:rsidP="00E535E2">
            <w:pPr>
              <w:rPr>
                <w:color w:val="FFFFFF" w:themeColor="background1"/>
              </w:rPr>
            </w:pPr>
          </w:p>
        </w:tc>
      </w:tr>
      <w:tr w:rsidR="000D7626" w14:paraId="318BF3E0" w14:textId="77777777" w:rsidTr="00E535E2">
        <w:tc>
          <w:tcPr>
            <w:tcW w:w="9212" w:type="dxa"/>
            <w:shd w:val="clear" w:color="auto" w:fill="9A997C"/>
          </w:tcPr>
          <w:p w14:paraId="036AA889" w14:textId="7B3BD17F" w:rsidR="00E535E2" w:rsidRPr="00B65FA6" w:rsidRDefault="00886653" w:rsidP="00E535E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</w:t>
            </w:r>
          </w:p>
          <w:p w14:paraId="195373BE" w14:textId="1EB80401" w:rsidR="000D7626" w:rsidRPr="00895240" w:rsidRDefault="000D7626" w:rsidP="00E535E2">
            <w:pPr>
              <w:rPr>
                <w:b/>
              </w:rPr>
            </w:pPr>
            <w:r w:rsidRPr="0070311C">
              <w:rPr>
                <w:color w:val="FFFFFF" w:themeColor="background1"/>
              </w:rPr>
              <w:t>BEGLEITMASSNAHMEN</w:t>
            </w:r>
          </w:p>
        </w:tc>
      </w:tr>
      <w:tr w:rsidR="000D7626" w14:paraId="13424CA2" w14:textId="77777777" w:rsidTr="00E2149F">
        <w:tc>
          <w:tcPr>
            <w:tcW w:w="9212" w:type="dxa"/>
          </w:tcPr>
          <w:p w14:paraId="2CCC55D8" w14:textId="6C4AAF3B" w:rsidR="00B13C5F" w:rsidRDefault="00B13C5F" w:rsidP="00A325E6">
            <w:pPr>
              <w:pStyle w:val="KeinLeerraum"/>
            </w:pPr>
          </w:p>
          <w:p w14:paraId="792279C3" w14:textId="65602552" w:rsidR="00B13C5F" w:rsidRPr="000F41DD" w:rsidRDefault="0006682E" w:rsidP="00DB6217">
            <w:pPr>
              <w:pStyle w:val="KeinLeerraum"/>
              <w:jc w:val="both"/>
              <w:rPr>
                <w:b/>
              </w:rPr>
            </w:pPr>
            <w:r>
              <w:rPr>
                <w:b/>
              </w:rPr>
              <w:t xml:space="preserve">4.3.1 </w:t>
            </w:r>
            <w:r w:rsidR="00B13C5F" w:rsidRPr="000F41DD">
              <w:rPr>
                <w:b/>
              </w:rPr>
              <w:t>Bauprodukte</w:t>
            </w:r>
            <w:r w:rsidR="00080C8E">
              <w:rPr>
                <w:b/>
              </w:rPr>
              <w:t>-D</w:t>
            </w:r>
            <w:r w:rsidR="00B13C5F" w:rsidRPr="000F41DD">
              <w:rPr>
                <w:b/>
              </w:rPr>
              <w:t>atenbank:</w:t>
            </w:r>
          </w:p>
          <w:p w14:paraId="3AA61F48" w14:textId="4DF591D6" w:rsidR="00B13C5F" w:rsidRDefault="00B13C5F" w:rsidP="00DB6217">
            <w:pPr>
              <w:pStyle w:val="KeinLeerraum"/>
              <w:jc w:val="both"/>
            </w:pPr>
            <w:r>
              <w:t xml:space="preserve">Entwicklung einer öffentlichen und kostenlos zugänglichen Datenbank mit allen relevanten Bauprodukteigenschaften (technische und ökologische Kennwerte entsprechend der Leistungserklärung bzw. auf Basis von </w:t>
            </w:r>
            <w:r w:rsidR="00A864F9">
              <w:t>Umweltproduktdeklarationen</w:t>
            </w:r>
            <w:r>
              <w:t>: generische Daten und validierte produktspezifische Daten)</w:t>
            </w:r>
          </w:p>
          <w:p w14:paraId="126FDD41" w14:textId="77777777" w:rsidR="00B13C5F" w:rsidRDefault="00B13C5F" w:rsidP="00DB6217">
            <w:pPr>
              <w:pStyle w:val="KeinLeerraum"/>
              <w:jc w:val="both"/>
            </w:pPr>
          </w:p>
          <w:p w14:paraId="004B8EDD" w14:textId="0E98377D" w:rsidR="00B13C5F" w:rsidRPr="000F41DD" w:rsidRDefault="0006682E" w:rsidP="00DB6217">
            <w:pPr>
              <w:pStyle w:val="KeinLeerraum"/>
              <w:jc w:val="both"/>
              <w:rPr>
                <w:b/>
              </w:rPr>
            </w:pPr>
            <w:r>
              <w:rPr>
                <w:b/>
              </w:rPr>
              <w:t xml:space="preserve">4.3.2 </w:t>
            </w:r>
            <w:r w:rsidR="00B13C5F">
              <w:rPr>
                <w:b/>
              </w:rPr>
              <w:t>Qualifizierungsmaß</w:t>
            </w:r>
            <w:r w:rsidR="00B13C5F" w:rsidRPr="000F41DD">
              <w:rPr>
                <w:b/>
              </w:rPr>
              <w:t>nahmen:</w:t>
            </w:r>
          </w:p>
          <w:p w14:paraId="6DB456C0" w14:textId="5E0A2D5D" w:rsidR="00B13C5F" w:rsidRDefault="00B13C5F" w:rsidP="00DB6217">
            <w:pPr>
              <w:pStyle w:val="KeinLeerraum"/>
              <w:jc w:val="both"/>
            </w:pPr>
            <w:r>
              <w:t>Förderung eines umfassenden Qualifizierungsangebots für nachhaltiges Bauen: Regelstudium an Universitäten und Fachhochschulen</w:t>
            </w:r>
            <w:r w:rsidR="00A864F9">
              <w:t>;</w:t>
            </w:r>
            <w:r>
              <w:t xml:space="preserve"> W</w:t>
            </w:r>
            <w:r w:rsidR="00080C8E">
              <w:t>eiterbildungsangebote für Planende</w:t>
            </w:r>
            <w:r>
              <w:t>, Ausführende, Erzeuger und Behörden</w:t>
            </w:r>
          </w:p>
          <w:p w14:paraId="1ECC00AA" w14:textId="152CB3D3" w:rsidR="00B13C5F" w:rsidRPr="00895240" w:rsidRDefault="00B13C5F" w:rsidP="00A325E6">
            <w:pPr>
              <w:pStyle w:val="KeinLeerraum"/>
              <w:rPr>
                <w:b/>
              </w:rPr>
            </w:pPr>
          </w:p>
        </w:tc>
      </w:tr>
    </w:tbl>
    <w:p w14:paraId="7B67C5DF" w14:textId="77777777" w:rsidR="00FF68C1" w:rsidRDefault="00FF68C1"/>
    <w:p w14:paraId="58EE9224" w14:textId="536961A5" w:rsidR="00085F6A" w:rsidRDefault="00085F6A">
      <w:r>
        <w:br w:type="page"/>
      </w: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085F6A" w:rsidRPr="00895240" w14:paraId="3BD50353" w14:textId="77777777" w:rsidTr="00085F6A">
        <w:tc>
          <w:tcPr>
            <w:tcW w:w="9212" w:type="dxa"/>
            <w:shd w:val="clear" w:color="auto" w:fill="FF9933"/>
          </w:tcPr>
          <w:p w14:paraId="1643A31B" w14:textId="26AD5C91" w:rsidR="00085F6A" w:rsidRPr="00F54420" w:rsidRDefault="00821BA7" w:rsidP="00381CF3">
            <w:pPr>
              <w:rPr>
                <w:b/>
                <w:caps/>
              </w:rPr>
            </w:pPr>
            <w:r w:rsidRPr="00F54420">
              <w:rPr>
                <w:b/>
                <w:caps/>
                <w:color w:val="FFFFFF" w:themeColor="background1"/>
              </w:rPr>
              <w:t xml:space="preserve">Beitragende </w:t>
            </w:r>
            <w:r w:rsidR="00085F6A" w:rsidRPr="00F54420">
              <w:rPr>
                <w:b/>
                <w:caps/>
                <w:color w:val="FFFFFF" w:themeColor="background1"/>
              </w:rPr>
              <w:t>I</w:t>
            </w:r>
            <w:r w:rsidR="00D54107" w:rsidRPr="00F54420">
              <w:rPr>
                <w:b/>
                <w:caps/>
                <w:color w:val="FFFFFF" w:themeColor="background1"/>
              </w:rPr>
              <w:t xml:space="preserve">NSTITUTIONEN </w:t>
            </w:r>
          </w:p>
        </w:tc>
      </w:tr>
      <w:tr w:rsidR="00085F6A" w:rsidRPr="00895240" w14:paraId="7AF91DF3" w14:textId="77777777" w:rsidTr="00381CF3">
        <w:tc>
          <w:tcPr>
            <w:tcW w:w="9212" w:type="dxa"/>
          </w:tcPr>
          <w:p w14:paraId="75ED49B0" w14:textId="776F0F1A" w:rsidR="00085F6A" w:rsidRDefault="00085F6A" w:rsidP="00381CF3">
            <w:pPr>
              <w:pStyle w:val="KeinLeerraum"/>
            </w:pPr>
          </w:p>
          <w:p w14:paraId="4723FA1D" w14:textId="77777777" w:rsidR="00085F6A" w:rsidRPr="00F54420" w:rsidRDefault="00085F6A" w:rsidP="00F54420">
            <w:pPr>
              <w:pStyle w:val="KeinLeerraum"/>
              <w:spacing w:line="360" w:lineRule="auto"/>
              <w:jc w:val="both"/>
              <w:rPr>
                <w:b/>
              </w:rPr>
            </w:pPr>
            <w:r w:rsidRPr="00F54420">
              <w:rPr>
                <w:b/>
              </w:rPr>
              <w:t>Austria Solar</w:t>
            </w:r>
          </w:p>
          <w:p w14:paraId="651F7CF3" w14:textId="0409694C" w:rsidR="00CC5409" w:rsidRPr="00F54420" w:rsidRDefault="00CC5409" w:rsidP="00F54420">
            <w:pPr>
              <w:pStyle w:val="KeinLeerraum"/>
              <w:spacing w:line="360" w:lineRule="auto"/>
              <w:jc w:val="both"/>
              <w:rPr>
                <w:b/>
              </w:rPr>
            </w:pPr>
            <w:r w:rsidRPr="00F54420">
              <w:rPr>
                <w:b/>
              </w:rPr>
              <w:t>Donau-Universität Krems</w:t>
            </w:r>
          </w:p>
          <w:p w14:paraId="719A1159" w14:textId="77777777" w:rsidR="00085F6A" w:rsidRPr="00F54420" w:rsidRDefault="00085F6A" w:rsidP="00F54420">
            <w:pPr>
              <w:pStyle w:val="KeinLeerraum"/>
              <w:spacing w:line="360" w:lineRule="auto"/>
              <w:jc w:val="both"/>
              <w:rPr>
                <w:b/>
              </w:rPr>
            </w:pPr>
            <w:r w:rsidRPr="00F54420">
              <w:rPr>
                <w:b/>
              </w:rPr>
              <w:t>FH Campus Wien</w:t>
            </w:r>
          </w:p>
          <w:p w14:paraId="7BEC9116" w14:textId="77777777" w:rsidR="00085F6A" w:rsidRPr="00F54420" w:rsidRDefault="00085F6A" w:rsidP="00F54420">
            <w:pPr>
              <w:pStyle w:val="KeinLeerraum"/>
              <w:spacing w:line="360" w:lineRule="auto"/>
              <w:jc w:val="both"/>
              <w:rPr>
                <w:b/>
              </w:rPr>
            </w:pPr>
            <w:r w:rsidRPr="00F54420">
              <w:rPr>
                <w:b/>
              </w:rPr>
              <w:t>Global 2000</w:t>
            </w:r>
          </w:p>
          <w:p w14:paraId="7B584442" w14:textId="77777777" w:rsidR="00085F6A" w:rsidRPr="00F54420" w:rsidRDefault="00085F6A" w:rsidP="00F54420">
            <w:pPr>
              <w:pStyle w:val="KeinLeerraum"/>
              <w:spacing w:line="360" w:lineRule="auto"/>
              <w:jc w:val="both"/>
              <w:rPr>
                <w:b/>
              </w:rPr>
            </w:pPr>
            <w:r w:rsidRPr="00F54420">
              <w:rPr>
                <w:b/>
              </w:rPr>
              <w:t>IIBW</w:t>
            </w:r>
          </w:p>
          <w:p w14:paraId="0A291536" w14:textId="77777777" w:rsidR="00CC5409" w:rsidRPr="00F54420" w:rsidRDefault="00CC5409" w:rsidP="00F54420">
            <w:pPr>
              <w:pStyle w:val="KeinLeerraum"/>
              <w:spacing w:line="360" w:lineRule="auto"/>
              <w:jc w:val="both"/>
              <w:rPr>
                <w:b/>
              </w:rPr>
            </w:pPr>
            <w:r w:rsidRPr="00F54420">
              <w:rPr>
                <w:b/>
              </w:rPr>
              <w:t>Landwirtschaftskammer Oberösterreich</w:t>
            </w:r>
          </w:p>
          <w:p w14:paraId="1745084F" w14:textId="77777777" w:rsidR="00085F6A" w:rsidRPr="00F54420" w:rsidRDefault="00085F6A" w:rsidP="00F54420">
            <w:pPr>
              <w:pStyle w:val="KeinLeerraum"/>
              <w:spacing w:line="360" w:lineRule="auto"/>
              <w:jc w:val="both"/>
              <w:rPr>
                <w:b/>
              </w:rPr>
            </w:pPr>
            <w:r w:rsidRPr="00F54420">
              <w:rPr>
                <w:b/>
              </w:rPr>
              <w:t>Passivhaus Austria</w:t>
            </w:r>
          </w:p>
          <w:p w14:paraId="4B3BDE07" w14:textId="77777777" w:rsidR="00085F6A" w:rsidRPr="00F54420" w:rsidRDefault="00085F6A" w:rsidP="00F54420">
            <w:pPr>
              <w:pStyle w:val="KeinLeerraum"/>
              <w:spacing w:line="360" w:lineRule="auto"/>
              <w:jc w:val="both"/>
              <w:rPr>
                <w:b/>
              </w:rPr>
            </w:pPr>
            <w:r w:rsidRPr="00F54420">
              <w:rPr>
                <w:b/>
              </w:rPr>
              <w:t>Passivhaus Institut</w:t>
            </w:r>
          </w:p>
          <w:p w14:paraId="6807E831" w14:textId="77777777" w:rsidR="00085F6A" w:rsidRPr="00F54420" w:rsidRDefault="00085F6A" w:rsidP="00F54420">
            <w:pPr>
              <w:pStyle w:val="KeinLeerraum"/>
              <w:spacing w:line="360" w:lineRule="auto"/>
              <w:jc w:val="both"/>
              <w:rPr>
                <w:b/>
              </w:rPr>
            </w:pPr>
            <w:r w:rsidRPr="00F54420">
              <w:rPr>
                <w:b/>
              </w:rPr>
              <w:t>Plattform Baukulturpolitik</w:t>
            </w:r>
          </w:p>
          <w:p w14:paraId="0FFE9A92" w14:textId="77777777" w:rsidR="00085F6A" w:rsidRPr="00F54420" w:rsidRDefault="00085F6A" w:rsidP="00F54420">
            <w:pPr>
              <w:pStyle w:val="KeinLeerraum"/>
              <w:spacing w:line="360" w:lineRule="auto"/>
              <w:jc w:val="both"/>
              <w:rPr>
                <w:b/>
              </w:rPr>
            </w:pPr>
            <w:r w:rsidRPr="00F54420">
              <w:rPr>
                <w:b/>
              </w:rPr>
              <w:t>Technikum Wien</w:t>
            </w:r>
          </w:p>
          <w:p w14:paraId="67E9B6FE" w14:textId="77777777" w:rsidR="00085F6A" w:rsidRPr="00F54420" w:rsidRDefault="00085F6A" w:rsidP="00F54420">
            <w:pPr>
              <w:pStyle w:val="KeinLeerraum"/>
              <w:spacing w:line="360" w:lineRule="auto"/>
              <w:jc w:val="both"/>
              <w:rPr>
                <w:b/>
              </w:rPr>
            </w:pPr>
            <w:r w:rsidRPr="00F54420">
              <w:rPr>
                <w:b/>
              </w:rPr>
              <w:t>TU Wien</w:t>
            </w:r>
          </w:p>
          <w:p w14:paraId="0C1E09EA" w14:textId="77777777" w:rsidR="00085F6A" w:rsidRPr="00F54420" w:rsidRDefault="00085F6A" w:rsidP="00F54420">
            <w:pPr>
              <w:pStyle w:val="KeinLeerraum"/>
              <w:spacing w:line="360" w:lineRule="auto"/>
              <w:jc w:val="both"/>
              <w:rPr>
                <w:b/>
              </w:rPr>
            </w:pPr>
            <w:r w:rsidRPr="00F54420">
              <w:rPr>
                <w:b/>
              </w:rPr>
              <w:t>WIFO</w:t>
            </w:r>
          </w:p>
          <w:p w14:paraId="5B342841" w14:textId="6428911B" w:rsidR="00085F6A" w:rsidRPr="00895240" w:rsidRDefault="00085F6A" w:rsidP="00CC5409">
            <w:pPr>
              <w:pStyle w:val="KeinLeerraum"/>
              <w:jc w:val="both"/>
              <w:rPr>
                <w:b/>
              </w:rPr>
            </w:pPr>
          </w:p>
        </w:tc>
      </w:tr>
    </w:tbl>
    <w:p w14:paraId="0CD3C65E" w14:textId="77777777" w:rsidR="00085F6A" w:rsidRDefault="00085F6A"/>
    <w:sectPr w:rsidR="00085F6A" w:rsidSect="00EE40C4">
      <w:footerReference w:type="even" r:id="rId7"/>
      <w:footerReference w:type="default" r:id="rId8"/>
      <w:pgSz w:w="11906" w:h="16838"/>
      <w:pgMar w:top="1361" w:right="1361" w:bottom="1134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AF514" w14:textId="77777777" w:rsidR="00016B54" w:rsidRDefault="00016B54" w:rsidP="006315D0">
      <w:pPr>
        <w:spacing w:after="0" w:line="240" w:lineRule="auto"/>
      </w:pPr>
      <w:r>
        <w:separator/>
      </w:r>
    </w:p>
  </w:endnote>
  <w:endnote w:type="continuationSeparator" w:id="0">
    <w:p w14:paraId="18FE807E" w14:textId="77777777" w:rsidR="00016B54" w:rsidRDefault="00016B54" w:rsidP="00631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8CDDE" w14:textId="77777777" w:rsidR="00F65193" w:rsidRDefault="00F65193" w:rsidP="00F6036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AD80B5D" w14:textId="77777777" w:rsidR="00F65193" w:rsidRDefault="00F65193" w:rsidP="001B2873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D5EAE" w14:textId="77777777" w:rsidR="00F65193" w:rsidRPr="001B2873" w:rsidRDefault="00F65193" w:rsidP="00F60361">
    <w:pPr>
      <w:pStyle w:val="Fuzeile"/>
      <w:framePr w:wrap="around" w:vAnchor="text" w:hAnchor="margin" w:xAlign="right" w:y="1"/>
      <w:rPr>
        <w:rStyle w:val="Seitenzahl"/>
        <w:sz w:val="16"/>
        <w:szCs w:val="16"/>
      </w:rPr>
    </w:pPr>
    <w:r w:rsidRPr="001B2873">
      <w:rPr>
        <w:rStyle w:val="Seitenzahl"/>
        <w:sz w:val="16"/>
        <w:szCs w:val="16"/>
      </w:rPr>
      <w:fldChar w:fldCharType="begin"/>
    </w:r>
    <w:r w:rsidRPr="001B2873">
      <w:rPr>
        <w:rStyle w:val="Seitenzahl"/>
        <w:sz w:val="16"/>
        <w:szCs w:val="16"/>
      </w:rPr>
      <w:instrText xml:space="preserve">PAGE  </w:instrText>
    </w:r>
    <w:r w:rsidRPr="001B2873">
      <w:rPr>
        <w:rStyle w:val="Seitenzahl"/>
        <w:sz w:val="16"/>
        <w:szCs w:val="16"/>
      </w:rPr>
      <w:fldChar w:fldCharType="separate"/>
    </w:r>
    <w:r w:rsidR="00EB7D6C">
      <w:rPr>
        <w:rStyle w:val="Seitenzahl"/>
        <w:noProof/>
        <w:sz w:val="16"/>
        <w:szCs w:val="16"/>
      </w:rPr>
      <w:t>6</w:t>
    </w:r>
    <w:r w:rsidRPr="001B2873">
      <w:rPr>
        <w:rStyle w:val="Seitenzahl"/>
        <w:sz w:val="16"/>
        <w:szCs w:val="16"/>
      </w:rPr>
      <w:fldChar w:fldCharType="end"/>
    </w:r>
  </w:p>
  <w:p w14:paraId="0A2C06CB" w14:textId="7C703DBF" w:rsidR="00F65193" w:rsidRPr="001B2873" w:rsidRDefault="00F65193" w:rsidP="001B2873">
    <w:pPr>
      <w:pStyle w:val="Fuzeile"/>
      <w:ind w:right="360"/>
      <w:rPr>
        <w:sz w:val="16"/>
        <w:szCs w:val="16"/>
      </w:rPr>
    </w:pPr>
    <w:r w:rsidRPr="001B2873">
      <w:rPr>
        <w:sz w:val="16"/>
        <w:szCs w:val="16"/>
      </w:rPr>
      <w:t>Mission 2030 Konkret</w:t>
    </w:r>
    <w:r w:rsidR="00181E11">
      <w:rPr>
        <w:sz w:val="16"/>
        <w:szCs w:val="16"/>
      </w:rPr>
      <w:t xml:space="preserve">, Ausschuss Nachhaltiges Bauen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C7A11" w14:textId="77777777" w:rsidR="00016B54" w:rsidRDefault="00016B54" w:rsidP="006315D0">
      <w:pPr>
        <w:spacing w:after="0" w:line="240" w:lineRule="auto"/>
      </w:pPr>
      <w:r>
        <w:separator/>
      </w:r>
    </w:p>
  </w:footnote>
  <w:footnote w:type="continuationSeparator" w:id="0">
    <w:p w14:paraId="0BDF4B68" w14:textId="77777777" w:rsidR="00016B54" w:rsidRDefault="00016B54" w:rsidP="00631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7B"/>
    <w:rsid w:val="00006F56"/>
    <w:rsid w:val="00016B54"/>
    <w:rsid w:val="0001709F"/>
    <w:rsid w:val="00020403"/>
    <w:rsid w:val="00023D75"/>
    <w:rsid w:val="00024B83"/>
    <w:rsid w:val="00050EBD"/>
    <w:rsid w:val="000541CD"/>
    <w:rsid w:val="00061075"/>
    <w:rsid w:val="00064465"/>
    <w:rsid w:val="0006682E"/>
    <w:rsid w:val="00070881"/>
    <w:rsid w:val="00071BAB"/>
    <w:rsid w:val="00080C8E"/>
    <w:rsid w:val="00085F6A"/>
    <w:rsid w:val="000A0639"/>
    <w:rsid w:val="000A0981"/>
    <w:rsid w:val="000B37FF"/>
    <w:rsid w:val="000C17F9"/>
    <w:rsid w:val="000C38AB"/>
    <w:rsid w:val="000D7626"/>
    <w:rsid w:val="00104022"/>
    <w:rsid w:val="00107A16"/>
    <w:rsid w:val="00115008"/>
    <w:rsid w:val="00124565"/>
    <w:rsid w:val="00135AC7"/>
    <w:rsid w:val="001421C2"/>
    <w:rsid w:val="001477BD"/>
    <w:rsid w:val="001532E6"/>
    <w:rsid w:val="00162894"/>
    <w:rsid w:val="00162B36"/>
    <w:rsid w:val="00171470"/>
    <w:rsid w:val="00175812"/>
    <w:rsid w:val="00177C07"/>
    <w:rsid w:val="00181E11"/>
    <w:rsid w:val="00192051"/>
    <w:rsid w:val="00194DA5"/>
    <w:rsid w:val="001A2089"/>
    <w:rsid w:val="001A63BC"/>
    <w:rsid w:val="001B2873"/>
    <w:rsid w:val="001D07BA"/>
    <w:rsid w:val="001E59B7"/>
    <w:rsid w:val="001E59E4"/>
    <w:rsid w:val="001F4796"/>
    <w:rsid w:val="001F7B8F"/>
    <w:rsid w:val="002060DE"/>
    <w:rsid w:val="00207C08"/>
    <w:rsid w:val="00222F4A"/>
    <w:rsid w:val="0023113F"/>
    <w:rsid w:val="0023384E"/>
    <w:rsid w:val="002360EE"/>
    <w:rsid w:val="00236369"/>
    <w:rsid w:val="00251363"/>
    <w:rsid w:val="00255B7F"/>
    <w:rsid w:val="00271DB9"/>
    <w:rsid w:val="0027447C"/>
    <w:rsid w:val="0028034D"/>
    <w:rsid w:val="00285BE3"/>
    <w:rsid w:val="002A0233"/>
    <w:rsid w:val="002A14C5"/>
    <w:rsid w:val="002A7BC6"/>
    <w:rsid w:val="002B106D"/>
    <w:rsid w:val="002B65C6"/>
    <w:rsid w:val="002C0FE9"/>
    <w:rsid w:val="002C47C0"/>
    <w:rsid w:val="002C79F8"/>
    <w:rsid w:val="002C7BF4"/>
    <w:rsid w:val="002D1CBF"/>
    <w:rsid w:val="002D4429"/>
    <w:rsid w:val="002D61A1"/>
    <w:rsid w:val="002E6673"/>
    <w:rsid w:val="002F3921"/>
    <w:rsid w:val="0030080B"/>
    <w:rsid w:val="00310B07"/>
    <w:rsid w:val="003200DD"/>
    <w:rsid w:val="00324684"/>
    <w:rsid w:val="00331470"/>
    <w:rsid w:val="00335A09"/>
    <w:rsid w:val="0034462D"/>
    <w:rsid w:val="00363007"/>
    <w:rsid w:val="00376D1C"/>
    <w:rsid w:val="00397E62"/>
    <w:rsid w:val="003C3E5D"/>
    <w:rsid w:val="003C54F4"/>
    <w:rsid w:val="003C5556"/>
    <w:rsid w:val="003D2AD3"/>
    <w:rsid w:val="003E00ED"/>
    <w:rsid w:val="003E23F3"/>
    <w:rsid w:val="004014EE"/>
    <w:rsid w:val="00402A92"/>
    <w:rsid w:val="004048FD"/>
    <w:rsid w:val="00406A76"/>
    <w:rsid w:val="00423333"/>
    <w:rsid w:val="00426E8D"/>
    <w:rsid w:val="00432FA9"/>
    <w:rsid w:val="004376E8"/>
    <w:rsid w:val="004422B2"/>
    <w:rsid w:val="004510ED"/>
    <w:rsid w:val="00451C53"/>
    <w:rsid w:val="00471C13"/>
    <w:rsid w:val="00476002"/>
    <w:rsid w:val="00485E40"/>
    <w:rsid w:val="00486D1A"/>
    <w:rsid w:val="00487FB5"/>
    <w:rsid w:val="004A74A2"/>
    <w:rsid w:val="004B1B28"/>
    <w:rsid w:val="004C392A"/>
    <w:rsid w:val="004C5803"/>
    <w:rsid w:val="004D2E70"/>
    <w:rsid w:val="004E17E9"/>
    <w:rsid w:val="004F22D6"/>
    <w:rsid w:val="004F4B7F"/>
    <w:rsid w:val="004F4F2E"/>
    <w:rsid w:val="00501DFE"/>
    <w:rsid w:val="00502883"/>
    <w:rsid w:val="005127C1"/>
    <w:rsid w:val="00521DC1"/>
    <w:rsid w:val="00530E11"/>
    <w:rsid w:val="0056058F"/>
    <w:rsid w:val="005667E6"/>
    <w:rsid w:val="00572EFA"/>
    <w:rsid w:val="005743D5"/>
    <w:rsid w:val="00574D11"/>
    <w:rsid w:val="005844A5"/>
    <w:rsid w:val="0058554C"/>
    <w:rsid w:val="00596C66"/>
    <w:rsid w:val="005A2C40"/>
    <w:rsid w:val="005B122B"/>
    <w:rsid w:val="005B5DF9"/>
    <w:rsid w:val="005C6940"/>
    <w:rsid w:val="005E34CE"/>
    <w:rsid w:val="005F2E4B"/>
    <w:rsid w:val="005F5053"/>
    <w:rsid w:val="005F602E"/>
    <w:rsid w:val="006000E5"/>
    <w:rsid w:val="00610168"/>
    <w:rsid w:val="00614D37"/>
    <w:rsid w:val="00621A2D"/>
    <w:rsid w:val="00622319"/>
    <w:rsid w:val="00624CE4"/>
    <w:rsid w:val="0063091A"/>
    <w:rsid w:val="006315D0"/>
    <w:rsid w:val="006359C4"/>
    <w:rsid w:val="00651838"/>
    <w:rsid w:val="006534DD"/>
    <w:rsid w:val="00655957"/>
    <w:rsid w:val="00661651"/>
    <w:rsid w:val="006630D4"/>
    <w:rsid w:val="00674F4C"/>
    <w:rsid w:val="00685E90"/>
    <w:rsid w:val="0069005C"/>
    <w:rsid w:val="00690F82"/>
    <w:rsid w:val="00696701"/>
    <w:rsid w:val="006C0BE1"/>
    <w:rsid w:val="006C5174"/>
    <w:rsid w:val="006E1C9B"/>
    <w:rsid w:val="006E4327"/>
    <w:rsid w:val="006F0C49"/>
    <w:rsid w:val="006F21BC"/>
    <w:rsid w:val="006F401E"/>
    <w:rsid w:val="0070311C"/>
    <w:rsid w:val="00716299"/>
    <w:rsid w:val="007315DD"/>
    <w:rsid w:val="00733A2D"/>
    <w:rsid w:val="00736546"/>
    <w:rsid w:val="00742C45"/>
    <w:rsid w:val="007660D2"/>
    <w:rsid w:val="00770836"/>
    <w:rsid w:val="00782604"/>
    <w:rsid w:val="007961E8"/>
    <w:rsid w:val="007970CD"/>
    <w:rsid w:val="007A15E2"/>
    <w:rsid w:val="007A5DD9"/>
    <w:rsid w:val="007A7D17"/>
    <w:rsid w:val="007B2957"/>
    <w:rsid w:val="007B2CBF"/>
    <w:rsid w:val="007E17BB"/>
    <w:rsid w:val="007E2E82"/>
    <w:rsid w:val="007E5ED8"/>
    <w:rsid w:val="007F1B05"/>
    <w:rsid w:val="007F2F23"/>
    <w:rsid w:val="007F678A"/>
    <w:rsid w:val="00821BA7"/>
    <w:rsid w:val="00837A04"/>
    <w:rsid w:val="008530EA"/>
    <w:rsid w:val="0088034D"/>
    <w:rsid w:val="00883487"/>
    <w:rsid w:val="00884AC0"/>
    <w:rsid w:val="00884C32"/>
    <w:rsid w:val="00886653"/>
    <w:rsid w:val="00893478"/>
    <w:rsid w:val="00895240"/>
    <w:rsid w:val="00896735"/>
    <w:rsid w:val="008A4F28"/>
    <w:rsid w:val="008B1D3C"/>
    <w:rsid w:val="008C320A"/>
    <w:rsid w:val="008E2D31"/>
    <w:rsid w:val="008E329D"/>
    <w:rsid w:val="008F0C94"/>
    <w:rsid w:val="00910694"/>
    <w:rsid w:val="009218E0"/>
    <w:rsid w:val="0092260F"/>
    <w:rsid w:val="00922B63"/>
    <w:rsid w:val="009445DF"/>
    <w:rsid w:val="009463F1"/>
    <w:rsid w:val="009477F9"/>
    <w:rsid w:val="00953E82"/>
    <w:rsid w:val="00960475"/>
    <w:rsid w:val="0096264B"/>
    <w:rsid w:val="00976289"/>
    <w:rsid w:val="00997330"/>
    <w:rsid w:val="009A300F"/>
    <w:rsid w:val="009B3604"/>
    <w:rsid w:val="009B40FD"/>
    <w:rsid w:val="009B6031"/>
    <w:rsid w:val="009C124F"/>
    <w:rsid w:val="009C1B7B"/>
    <w:rsid w:val="009C2A4B"/>
    <w:rsid w:val="009C4491"/>
    <w:rsid w:val="009C57CE"/>
    <w:rsid w:val="009D6578"/>
    <w:rsid w:val="009E0F99"/>
    <w:rsid w:val="009E4418"/>
    <w:rsid w:val="009E508D"/>
    <w:rsid w:val="009F21FA"/>
    <w:rsid w:val="00A155FC"/>
    <w:rsid w:val="00A252A4"/>
    <w:rsid w:val="00A2605C"/>
    <w:rsid w:val="00A31E0C"/>
    <w:rsid w:val="00A325E6"/>
    <w:rsid w:val="00A43BA6"/>
    <w:rsid w:val="00A44948"/>
    <w:rsid w:val="00A5036D"/>
    <w:rsid w:val="00A5204F"/>
    <w:rsid w:val="00A73E8C"/>
    <w:rsid w:val="00A77131"/>
    <w:rsid w:val="00A852A9"/>
    <w:rsid w:val="00A864F9"/>
    <w:rsid w:val="00A868C4"/>
    <w:rsid w:val="00AB1395"/>
    <w:rsid w:val="00AB2D4E"/>
    <w:rsid w:val="00AB670D"/>
    <w:rsid w:val="00AE3C52"/>
    <w:rsid w:val="00AE4857"/>
    <w:rsid w:val="00B049AD"/>
    <w:rsid w:val="00B13C5F"/>
    <w:rsid w:val="00B2351D"/>
    <w:rsid w:val="00B249E4"/>
    <w:rsid w:val="00B37434"/>
    <w:rsid w:val="00B4098E"/>
    <w:rsid w:val="00B65FA6"/>
    <w:rsid w:val="00B71005"/>
    <w:rsid w:val="00B71F2A"/>
    <w:rsid w:val="00B85DAD"/>
    <w:rsid w:val="00BA15E3"/>
    <w:rsid w:val="00BA508C"/>
    <w:rsid w:val="00BA5770"/>
    <w:rsid w:val="00BD00C9"/>
    <w:rsid w:val="00BD1719"/>
    <w:rsid w:val="00BD2D96"/>
    <w:rsid w:val="00BE0BD5"/>
    <w:rsid w:val="00BE1EA3"/>
    <w:rsid w:val="00C0036A"/>
    <w:rsid w:val="00C040D6"/>
    <w:rsid w:val="00C06ED8"/>
    <w:rsid w:val="00C07538"/>
    <w:rsid w:val="00C1132E"/>
    <w:rsid w:val="00C211F7"/>
    <w:rsid w:val="00C2146B"/>
    <w:rsid w:val="00C26785"/>
    <w:rsid w:val="00C26FE6"/>
    <w:rsid w:val="00C27D24"/>
    <w:rsid w:val="00C41D98"/>
    <w:rsid w:val="00C7049B"/>
    <w:rsid w:val="00C71551"/>
    <w:rsid w:val="00C81AAE"/>
    <w:rsid w:val="00C81F20"/>
    <w:rsid w:val="00C84B4F"/>
    <w:rsid w:val="00C85359"/>
    <w:rsid w:val="00CC5409"/>
    <w:rsid w:val="00CD5673"/>
    <w:rsid w:val="00CD6643"/>
    <w:rsid w:val="00CD7D0F"/>
    <w:rsid w:val="00D04063"/>
    <w:rsid w:val="00D40567"/>
    <w:rsid w:val="00D42F11"/>
    <w:rsid w:val="00D45426"/>
    <w:rsid w:val="00D47A24"/>
    <w:rsid w:val="00D54107"/>
    <w:rsid w:val="00D56518"/>
    <w:rsid w:val="00D60932"/>
    <w:rsid w:val="00D71E1A"/>
    <w:rsid w:val="00D73DDA"/>
    <w:rsid w:val="00D73FE2"/>
    <w:rsid w:val="00D812AF"/>
    <w:rsid w:val="00D92222"/>
    <w:rsid w:val="00D96B9C"/>
    <w:rsid w:val="00DA03DC"/>
    <w:rsid w:val="00DA3157"/>
    <w:rsid w:val="00DB5004"/>
    <w:rsid w:val="00DB6217"/>
    <w:rsid w:val="00DD0476"/>
    <w:rsid w:val="00E17264"/>
    <w:rsid w:val="00E2149F"/>
    <w:rsid w:val="00E414CE"/>
    <w:rsid w:val="00E47D84"/>
    <w:rsid w:val="00E535E2"/>
    <w:rsid w:val="00E64B9C"/>
    <w:rsid w:val="00E76170"/>
    <w:rsid w:val="00E77CDD"/>
    <w:rsid w:val="00E91596"/>
    <w:rsid w:val="00E966E4"/>
    <w:rsid w:val="00EB7D6C"/>
    <w:rsid w:val="00EC4DFD"/>
    <w:rsid w:val="00ED24B8"/>
    <w:rsid w:val="00EE40C4"/>
    <w:rsid w:val="00F01750"/>
    <w:rsid w:val="00F30480"/>
    <w:rsid w:val="00F31E9E"/>
    <w:rsid w:val="00F408E5"/>
    <w:rsid w:val="00F4203E"/>
    <w:rsid w:val="00F445F5"/>
    <w:rsid w:val="00F447E9"/>
    <w:rsid w:val="00F44A0E"/>
    <w:rsid w:val="00F46D92"/>
    <w:rsid w:val="00F50F21"/>
    <w:rsid w:val="00F54420"/>
    <w:rsid w:val="00F54C97"/>
    <w:rsid w:val="00F56F92"/>
    <w:rsid w:val="00F60361"/>
    <w:rsid w:val="00F6056B"/>
    <w:rsid w:val="00F65193"/>
    <w:rsid w:val="00F70823"/>
    <w:rsid w:val="00F76C64"/>
    <w:rsid w:val="00F82042"/>
    <w:rsid w:val="00F85E7A"/>
    <w:rsid w:val="00F86335"/>
    <w:rsid w:val="00FA5D8E"/>
    <w:rsid w:val="00FA789D"/>
    <w:rsid w:val="00FB1D8C"/>
    <w:rsid w:val="00FC1A83"/>
    <w:rsid w:val="00FC275E"/>
    <w:rsid w:val="00FC3E7D"/>
    <w:rsid w:val="00FE63BD"/>
    <w:rsid w:val="00FF68C1"/>
    <w:rsid w:val="00FF7000"/>
    <w:rsid w:val="00FF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82561A"/>
  <w15:docId w15:val="{14F8161A-B7AF-4E22-B7A7-3F8EBC50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3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aliases w:val="Fußnotentext Char Char,Fußnotentext Char"/>
    <w:basedOn w:val="Standard"/>
    <w:link w:val="FunotentextZchn"/>
    <w:rsid w:val="006315D0"/>
    <w:pPr>
      <w:spacing w:after="0" w:line="240" w:lineRule="auto"/>
      <w:jc w:val="both"/>
    </w:pPr>
    <w:rPr>
      <w:rFonts w:ascii="Verdana" w:eastAsia="Times New Roman" w:hAnsi="Verdana" w:cs="Times New Roman"/>
      <w:sz w:val="14"/>
      <w:szCs w:val="20"/>
      <w:lang w:val="de-DE" w:eastAsia="de-DE"/>
    </w:rPr>
  </w:style>
  <w:style w:type="character" w:customStyle="1" w:styleId="FunotentextZchn">
    <w:name w:val="Fußnotentext Zchn"/>
    <w:aliases w:val="Fußnotentext Char Char Zchn,Fußnotentext Char Zchn"/>
    <w:basedOn w:val="Absatz-Standardschriftart"/>
    <w:link w:val="Funotentext"/>
    <w:rsid w:val="006315D0"/>
    <w:rPr>
      <w:rFonts w:ascii="Verdana" w:eastAsia="Times New Roman" w:hAnsi="Verdana" w:cs="Times New Roman"/>
      <w:sz w:val="14"/>
      <w:szCs w:val="20"/>
      <w:lang w:val="de-DE" w:eastAsia="de-DE"/>
    </w:rPr>
  </w:style>
  <w:style w:type="character" w:styleId="Funotenzeichen">
    <w:name w:val="footnote reference"/>
    <w:basedOn w:val="Absatz-Standardschriftart"/>
    <w:rsid w:val="006315D0"/>
    <w:rPr>
      <w:sz w:val="18"/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63F1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63F1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63F1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63F1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63F1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463F1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63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63F1"/>
    <w:rPr>
      <w:rFonts w:ascii="Lucida Grande" w:hAnsi="Lucida Grande" w:cs="Lucida Grande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F60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0361"/>
  </w:style>
  <w:style w:type="character" w:styleId="Seitenzahl">
    <w:name w:val="page number"/>
    <w:basedOn w:val="Absatz-Standardschriftart"/>
    <w:uiPriority w:val="99"/>
    <w:semiHidden/>
    <w:unhideWhenUsed/>
    <w:rsid w:val="00F60361"/>
  </w:style>
  <w:style w:type="paragraph" w:styleId="Kopfzeile">
    <w:name w:val="header"/>
    <w:basedOn w:val="Standard"/>
    <w:link w:val="KopfzeileZchn"/>
    <w:uiPriority w:val="99"/>
    <w:unhideWhenUsed/>
    <w:rsid w:val="001B2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2873"/>
  </w:style>
  <w:style w:type="paragraph" w:styleId="KeinLeerraum">
    <w:name w:val="No Spacing"/>
    <w:uiPriority w:val="1"/>
    <w:qFormat/>
    <w:rsid w:val="00A325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1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2675</Words>
  <Characters>16854</Characters>
  <Application>Microsoft Office Word</Application>
  <DocSecurity>0</DocSecurity>
  <Lines>140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doesterreicher</dc:creator>
  <cp:lastModifiedBy>EDV Admin</cp:lastModifiedBy>
  <cp:revision>2</cp:revision>
  <cp:lastPrinted>2018-11-22T20:44:00Z</cp:lastPrinted>
  <dcterms:created xsi:type="dcterms:W3CDTF">2018-11-30T06:04:00Z</dcterms:created>
  <dcterms:modified xsi:type="dcterms:W3CDTF">2018-11-30T06:04:00Z</dcterms:modified>
</cp:coreProperties>
</file>